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直流有刷电机驱动电路"/>
    <w:p>
      <w:pPr>
        <w:pStyle w:val="Heading1"/>
      </w:pPr>
      <w:r>
        <w:rPr>
          <w:rFonts w:hint="eastAsia" w:eastAsia="黑体"/>
        </w:rPr>
        <w:t xml:space="preserve">直流有刷电机驱动电路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功率开关管（以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沟道</w:t>
      </w:r>
      <w:r>
        <w:rPr>
          <w:rFonts w:eastAsia="黑体"/>
          <w:b/>
          <w:bCs/>
        </w:rPr>
        <w:t xml:space="preserve"> MOSFET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计的单管低边方案）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续流二极管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栅极驱动电路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PWM </w:t>
      </w:r>
      <w:r>
        <w:rPr>
          <w:rFonts w:hint="eastAsia" w:eastAsia="黑体"/>
          <w:b/>
          <w:bCs/>
        </w:rPr>
        <w:t xml:space="preserve">控制器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直流有刷电机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hint="eastAsia" w:eastAsia="黑体"/>
          <w:b/>
          <w:bCs/>
        </w:rPr>
        <w:t xml:space="preserve">（电枢电阻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hint="eastAsia" w:eastAsia="黑体"/>
          <w:b/>
          <w:bCs/>
        </w:rPr>
        <w:t xml:space="preserve">、电感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组成；单向控制用单只开关管，双向正反转改换为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电源正端</w:t>
      </w:r>
      <w:r>
        <w:rPr>
          <w:rFonts w:eastAsia="黑体"/>
          <w:b/>
          <w:bCs/>
        </w:rPr>
        <w:t xml:space="preserve"> V+</w:t>
      </w:r>
      <w:r>
        <w:rPr>
          <w:rFonts w:hint="eastAsia" w:eastAsia="黑体"/>
        </w:rPr>
        <w:t xml:space="preserve">（电源正极、电机电枢一端与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（电机电枢另一端、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D、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与电源负极相连）。另有栅极节点（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驱动信号）。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接栅极驱动电路/PWM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控制器输出（栅极节点）、D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接节点②开关节点、S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接节点③地；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阳极接节点②开关节点、阴极接节点①电源正端；</w:t>
      </w:r>
      <w:r>
        <w:rPr>
          <w:rFonts w:hint="eastAsia" w:eastAsia="黑体"/>
          <w:b/>
          <w:bCs/>
        </w:rPr>
        <w:t xml:space="preserve">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一端接节点①电源正端、另一端接节点②开关节点；</w:t>
      </w:r>
      <w:r>
        <w:rPr>
          <w:rFonts w:hint="eastAsia" w:eastAsia="黑体"/>
          <w:b/>
          <w:bCs/>
        </w:rPr>
        <w:t xml:space="preserve">栅极驱动电路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控制器、另一端接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的栅极。</w:t>
      </w:r>
    </w:p>
    <w:p>
      <w:pPr/>
      <w:r>
        <w:rPr>
          <w:rFonts w:hint="eastAsia" w:eastAsia="黑体"/>
        </w:rPr>
        <w:t xml:space="preserve">由此构成”低边单管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驱动直流电机”组态：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导通时电源电压经电枢建立电流，截止时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为电枢电感电流提供续流回路以保持连续，调节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占空比即可改变平均电枢电压从而调速；双向正反转则采用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开关管导通时电源电压加在电枢两端，电流建立驱动电机；截止时电枢电流经续流二极管或另一桥臂维持，电感电流连续。调节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占空比改变平均电枢电压，从而调节转速与转矩。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平均电压：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电枢电流（稳态）：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反电动势：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t> </m:t>
          </m:r>
          <m: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转矩：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 </m:t>
          </m:r>
          <m:r>
            <m:t>I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电流纹波（连续模式近似）：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W</m:t>
                  </m:r>
                  <m:r>
                    <m:t>M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电枢电阻/电感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Ω, 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反电动势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转矩/反电动势常数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角速度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W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平均电压升高，转速增大。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电源电压升高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最高转速与转矩增大，需器件耐压匹配。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PWM </w:t>
      </w:r>
      <w:r>
        <w:rPr>
          <w:rFonts w:hint="eastAsia" w:eastAsia="黑体"/>
          <w:b/>
          <w:bCs/>
        </w:rPr>
        <w:t xml:space="preserve">频率提高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电流纹波减小、运行更平滑，但开关损耗增大。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续流二极管选用不当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关断反冲损坏开关管或增加损耗。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mH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P</m:t>
            </m:r>
            <m:r>
              <m:t>W</m:t>
            </m:r>
            <m:r>
              <m:t>M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0.5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0.5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0.3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单管驱动：IRLZ44N、IRF540、AO3400（小功率）。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H </w:t>
      </w:r>
      <w:r>
        <w:rPr>
          <w:rFonts w:hint="eastAsia" w:eastAsia="黑体"/>
        </w:rPr>
        <w:t xml:space="preserve">桥：L298N、TB6612、DRV8870、L9110。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栅极驱动：TC4427。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电机起停、堵转电流远大于稳态，需过流保护。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有刷电机换向产生电磁干扰，应加去耦与必要时</w:t>
      </w:r>
      <w:r>
        <w:rPr>
          <w:rFonts w:eastAsia="黑体"/>
        </w:rPr>
        <w:t xml:space="preserve"> EMC </w:t>
      </w:r>
      <w:r>
        <w:rPr>
          <w:rFonts w:hint="eastAsia" w:eastAsia="黑体"/>
        </w:rPr>
        <w:t xml:space="preserve">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低占空比下若电流断续，转速控制非线性，可提高频率或加续流保持连续。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Brushed DC electric motor。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产品页：DRV8870。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《电机与拖动基础》教材。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直流有刷电机驱动电路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直流有刷电机驱动电路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