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舵机驱动电路"/>
    <w:p>
      <w:pPr>
        <w:pStyle w:val="Heading1"/>
      </w:pPr>
      <w:r>
        <w:rPr>
          <w:rFonts w:hint="eastAsia" w:eastAsia="黑体"/>
        </w:rPr>
        <w:t xml:space="preserve">舵机驱动电路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PWM </w:t>
      </w:r>
      <w:r>
        <w:rPr>
          <w:rFonts w:hint="eastAsia" w:eastAsia="黑体"/>
          <w:b/>
          <w:bCs/>
        </w:rPr>
        <w:t xml:space="preserve">信号源（常为单片机定时器</w:t>
      </w:r>
      <w:r>
        <w:rPr>
          <w:rFonts w:eastAsia="黑体"/>
          <w:b/>
          <w:bCs/>
        </w:rPr>
        <w:t xml:space="preserve"> </w:t>
      </w:r>
      <m:oMath>
        <m:r>
          <m:t>M</m:t>
        </m:r>
        <m:r>
          <m:t>C</m:t>
        </m:r>
        <m:r>
          <m:t>U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舵机内部组件（控制器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、电位计位置反馈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  <w:b/>
          <w:bCs/>
        </w:rPr>
        <w:t xml:space="preserve">、H </w:t>
      </w:r>
      <w:r>
        <w:rPr>
          <w:rFonts w:hint="eastAsia" w:eastAsia="黑体"/>
          <w:b/>
          <w:bCs/>
        </w:rPr>
        <w:t xml:space="preserve">桥/功率级、小型直流电机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组成。电路对外共有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PWM </w:t>
      </w:r>
      <w:r>
        <w:rPr>
          <w:rFonts w:hint="eastAsia" w:eastAsia="黑体"/>
          <w:b/>
          <w:bCs/>
        </w:rPr>
        <w:t xml:space="preserve">信号节点</w:t>
      </w:r>
      <w:r>
        <w:rPr>
          <w:rFonts w:hint="eastAsia" w:eastAsia="黑体"/>
        </w:rPr>
        <w:t xml:space="preserve">（</w:t>
      </w:r>
      <m:oMath>
        <m:r>
          <m:t>M</m:t>
        </m:r>
        <m:r>
          <m:t>C</m:t>
        </m:r>
        <m:r>
          <m:t>U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输出经舵机信号线</w:t>
      </w:r>
      <w:r>
        <w:rPr>
          <w:rFonts w:eastAsia="黑体"/>
        </w:rPr>
        <w:t xml:space="preserve"> SIG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电源正端</w:t>
      </w:r>
      <w:r>
        <w:rPr>
          <w:rFonts w:eastAsia="黑体"/>
          <w:b/>
          <w:bCs/>
        </w:rPr>
        <w:t xml:space="preserve"> V+</w:t>
      </w:r>
      <w:r>
        <w:rPr>
          <w:rFonts w:hint="eastAsia" w:eastAsia="黑体"/>
        </w:rPr>
        <w:t xml:space="preserve">（外部电源正极、舵机内部驱动与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（外部电源负极、舵机内部地、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下端相连）；内部另设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电机驱动节点</w:t>
      </w:r>
      <w:r>
        <w:rPr>
          <w:rFonts w:hint="eastAsia" w:eastAsia="黑体"/>
        </w:rPr>
        <w:t xml:space="preserve">（H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桥输出接电机两端）与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反馈节点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滑臂输出接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m:oMath>
        <m:r>
          <m:t>M</m:t>
        </m:r>
        <m:r>
          <m:t>C</m:t>
        </m:r>
        <m:r>
          <m:t>U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输出接节点①；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一端接节点②电源正端（或基准）、另一端接节点③地、滑臂接节点⑤反馈节点；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接节点①（角度指令）、节点⑤（角度反馈）、节点④（驱动输出）、节点②与节点③（供电）；</w:t>
      </w:r>
      <w:r>
        <w:rPr>
          <w:rFonts w:eastAsia="黑体"/>
          <w:b/>
          <w:bCs/>
        </w:rPr>
        <w:t xml:space="preserve">H </w:t>
      </w:r>
      <w:r>
        <w:rPr>
          <w:rFonts w:hint="eastAsia" w:eastAsia="黑体"/>
          <w:b/>
          <w:bCs/>
        </w:rPr>
        <w:t xml:space="preserve">桥/功率级</w:t>
      </w:r>
      <w:r>
        <w:rPr>
          <w:rFonts w:hint="eastAsia" w:eastAsia="黑体"/>
        </w:rPr>
        <w:t xml:space="preserve">电源端接节点②、节点③，输出端接电机</w:t>
      </w:r>
      <w:r>
        <w:rPr>
          <w:rFonts w:eastAsia="黑体"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两端（节点④）；</w:t>
      </w:r>
      <w:r>
        <w:rPr>
          <w:rFonts w:hint="eastAsia" w:eastAsia="黑体"/>
          <w:b/>
          <w:bCs/>
        </w:rPr>
        <w:t xml:space="preserve">电机</w:t>
      </w:r>
      <w:r>
        <w:rPr>
          <w:rFonts w:eastAsia="黑体"/>
          <w:b/>
          <w:bCs/>
        </w:rPr>
        <w:t xml:space="preserve"> </w:t>
      </w:r>
      <m:oMath>
        <m:r>
          <m:t>M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一端接节点④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桥输出之一、另一端接节点④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桥输出之二。</w:t>
      </w:r>
    </w:p>
    <w:p>
      <w:pPr/>
      <w:r>
        <w:rPr>
          <w:rFonts w:hint="eastAsia" w:eastAsia="黑体"/>
        </w:rPr>
        <w:t xml:space="preserve">由此构成”PWM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指令驱动的舵机内部闭环位置伺服”组态：外部仅提供</w:t>
      </w:r>
      <w:r>
        <w:rPr>
          <w:rFonts w:eastAsia="黑体"/>
        </w:rPr>
        <w:t xml:space="preserve"> 20 ms </w:t>
      </w:r>
      <w:r>
        <w:rPr>
          <w:rFonts w:hint="eastAsia" w:eastAsia="黑体"/>
        </w:rPr>
        <w:t xml:space="preserve">周期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脉宽指令，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将脉宽映射为目标角度并与电位计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的反馈角度比较，误差经内部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桥驱动电机转动直至轴到位，实现轻负载下的角度精确控制。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脉宽（通常</w:t>
      </w:r>
      <w:r>
        <w:rPr>
          <w:rFonts w:eastAsia="黑体"/>
        </w:rPr>
        <w:t xml:space="preserve"> 1~2 </w:t>
      </w:r>
      <w:r>
        <w:rPr>
          <w:rFonts w:hint="eastAsia" w:eastAsia="黑体"/>
        </w:rPr>
        <w:t xml:space="preserve">ms）对应目标角度，舵机比较该指令与内部电位计反馈的当前角度，误差经内部电路驱动电机转动，直至轴到位、误差为零。电源与地直接供给内部驱动，控制线仅传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指令。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控制脉宽与角度（典型）：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ms</m:t>
              </m:r>
            </m:num>
            <m:den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ms</m:t>
              </m:r>
            </m:den>
          </m:f>
          <m:r>
            <m:rPr>
              <m:sty m:val="p"/>
            </m:rPr>
            <m:t>×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r>
            <m:t>2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PWM </w:t>
      </w:r>
      <w:r>
        <w:rPr>
          <w:rFonts w:hint="eastAsia" w:eastAsia="黑体"/>
        </w:rPr>
        <w:t xml:space="preserve">周期（标准</w:t>
      </w:r>
      <w:r>
        <w:rPr>
          <w:rFonts w:eastAsia="黑体"/>
        </w:rPr>
        <w:t xml:space="preserve"> 50 </w:t>
      </w:r>
      <w:r>
        <w:rPr>
          <w:rFonts w:hint="eastAsia" w:eastAsia="黑体"/>
        </w:rPr>
        <w:t xml:space="preserve">Hz）：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占空比（对应脉宽）：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角速度（空载典型值由规格给出）：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θ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高电平脉宽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PWM </w:t>
            </w:r>
            <w:r>
              <w:rPr>
                <w:rFonts w:hint="eastAsia" w:eastAsia="黑体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PWM </w:t>
            </w:r>
            <w:r>
              <w:rPr>
                <w:rFonts w:hint="eastAsia" w:eastAsia="黑体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输出轴角度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度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最大角速度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度/s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脉宽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目标角度增大（接近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180°）。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PWM </w:t>
      </w:r>
      <w:r>
        <w:rPr>
          <w:rFonts w:hint="eastAsia" w:eastAsia="黑体"/>
          <w:b/>
          <w:bCs/>
        </w:rPr>
        <w:t xml:space="preserve">周期偏离</w:t>
      </w:r>
      <w:r>
        <w:rPr>
          <w:rFonts w:eastAsia="黑体"/>
          <w:b/>
          <w:bCs/>
        </w:rPr>
        <w:t xml:space="preserve"> 20 ms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部分舵机角度响应异常，需保持标准周期。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供电电压升高（规范内）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转矩与速度增大，但发热增加。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电源内阻大</w:t>
      </w:r>
      <w:r>
        <w:rPr>
          <w:rFonts w:eastAsia="黑体"/>
          <w:b/>
          <w:bCs/>
        </w:rPr>
        <w:t xml:space="preserve"> / </w:t>
      </w:r>
      <w:r>
        <w:rPr>
          <w:rFonts w:hint="eastAsia" w:eastAsia="黑体"/>
          <w:b/>
          <w:bCs/>
        </w:rPr>
        <w:t xml:space="preserve">线过长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舵机大电流时电压跌落，动作不稳定。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1.5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、</w:t>
      </w:r>
      <m:oMath>
        <m:r>
          <m:t>T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hint="eastAsia" w:eastAsia="黑体"/>
        </w:rPr>
        <w:t xml:space="preserve">：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1.5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</m:den>
        </m:f>
        <m:r>
          <m:rPr>
            <m:sty m:val="p"/>
          </m:rPr>
          <m:t>×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黑体"/>
        </w:rPr>
        <w:t xml:space="preserve">；</w:t>
      </w:r>
      <m:oMath>
        <m:sSub>
          <m:e>
            <m:r>
              <m:t>t</m:t>
            </m:r>
          </m:e>
          <m:sub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舵机：SG90、MG995、MG996R、HS-311。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MCU：STM32、Arduino、ESP32。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舵机电源与逻辑电源尽量分开，抑制电机电流对控制信号的干扰。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机械堵转会使电流与发热剧增，避免长时间堵转。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不同厂商脉宽范围略有差异，需查规格书标定角度区间。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Servo (radio control)。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《机器人学导论》相关章节。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Tower Pro </w:t>
      </w:r>
      <w:r>
        <w:rPr>
          <w:rFonts w:hint="eastAsia" w:eastAsia="黑体"/>
        </w:rPr>
        <w:t xml:space="preserve">产品页：MG996R。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舵机驱动电路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舵机驱动电路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