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ed-显示屏驱动电路"/>
    <w:p>
      <w:pPr>
        <w:pStyle w:val="Heading1"/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显示屏驱动电路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行扫描开关管（行选，以</w:t>
      </w:r>
      <w:r>
        <w:rPr>
          <w:rFonts w:eastAsia="黑体"/>
          <w:b/>
          <w:bCs/>
        </w:rPr>
        <w:t xml:space="preserve"> P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MOSFET </w:t>
      </w:r>
      <w:r>
        <w:rPr>
          <w:rFonts w:hint="eastAsia" w:eastAsia="黑体"/>
          <w:b/>
          <w:bCs/>
        </w:rPr>
        <w:t xml:space="preserve">计）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列恒流驱动芯片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列恒流通道）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点阵（</w:t>
      </w:r>
      <m:oMath>
        <m:r>
          <m:t>m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行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×</m:t>
        </m:r>
      </m:oMath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列）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组成的矩阵扫描驱动网络。电路共有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eastAsia="黑体"/>
          <w:b/>
          <w:bCs/>
        </w:rPr>
        <w:t xml:space="preserve"> V+</w:t>
      </w:r>
      <w:r>
        <w:rPr>
          <w:rFonts w:hint="eastAsia" w:eastAsia="黑体"/>
        </w:rPr>
        <w:t xml:space="preserve">（所有行选管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与电源正极相连）；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各行母线（共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个）</w:t>
      </w:r>
      <w:r>
        <w:rPr>
          <w:rFonts w:hint="eastAsia" w:eastAsia="黑体"/>
        </w:rPr>
        <w:t xml:space="preserve">（第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行行选管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与该行全部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阳极相连）；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各列母线（共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个）</w:t>
      </w:r>
      <w:r>
        <w:rPr>
          <w:rFonts w:hint="eastAsia" w:eastAsia="黑体"/>
        </w:rPr>
        <w:t xml:space="preserve">（第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列全部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阴极与列恒流芯片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通道输入端相连）；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（列恒流芯片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的电源负端/灌电流回路相连）。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行选管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接节点①电源正端、D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行母线、G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接行译码器/行选驱动信号；</w:t>
      </w:r>
      <w:r>
        <w:rPr>
          <w:rFonts w:hint="eastAsia" w:eastAsia="黑体"/>
          <w:b/>
          <w:bCs/>
        </w:rPr>
        <w:t xml:space="preserve">列恒流芯片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通道电流输入端接节点③第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列母线、恒流输出经内部采样电阻接节点④地、基准/数据/时钟/使能脚送控制器；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点阵</w:t>
      </w: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行第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列灯珠的阳极接第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行母线（节点②）、阴极接第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列母线（节点③）。</w:t>
      </w:r>
    </w:p>
    <w:p>
      <w:pPr/>
      <w:r>
        <w:rPr>
          <w:rFonts w:hint="eastAsia" w:eastAsia="黑体"/>
        </w:rPr>
        <w:t xml:space="preserve">由此构成”行扫描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列恒流”的点阵扫描驱动组态：任意时刻仅选中一行（该行行选管导通），该行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由列恒流通道按灰度数据提供恒定电流，逐行快速轮询并利用人眼视觉暂留完成整屏刷新，同时以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调制导通时长实现灰度与亮度控制。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任意时刻仅选中一行，该行的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按列数据由恒流源驱动导通；利用人眼视觉暂留效应快速轮询各行，使人眼看到完整的整屏画面。通过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调制导通时长实现灰度与亮度。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单颗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平均电流（占空比取均值）：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×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整屏最大峰值电流（每行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列全亮）：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o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单帧扫描频率：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f</m:t>
              </m:r>
              <m:r>
                <m:t>r</m:t>
              </m:r>
              <m:r>
                <m:t>a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</m:num>
            <m:den>
              <m:r>
                <m:t>m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单个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</w:t>
            </w:r>
            <w:r>
              <w:rPr>
                <w:rFonts w:eastAsia="黑体"/>
              </w:rPr>
              <w:t xml:space="preserve"> LED </w:t>
            </w:r>
            <w:r>
              <w:rPr>
                <w:rFonts w:hint="eastAsia" w:eastAsia="黑体"/>
              </w:rPr>
              <w:t xml:space="preserve">峰值电流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</w:t>
            </w:r>
            <w:r>
              <w:rPr>
                <w:rFonts w:eastAsia="黑体"/>
              </w:rPr>
              <w:t xml:space="preserve"> LED </w:t>
            </w:r>
            <w:r>
              <w:rPr>
                <w:rFonts w:hint="eastAsia" w:eastAsia="黑体"/>
              </w:rPr>
              <w:t xml:space="preserve">平均电流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每行点亮列数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单行峰值电流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帧率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行扫描频率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扫描行数（1/m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扫描）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行数</w:t>
      </w:r>
      <w:r>
        <w:rPr>
          <w:rFonts w:eastAsia="黑体"/>
          <w:b/>
          <w:bCs/>
        </w:rPr>
        <w:t xml:space="preserve"> m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占空比</w:t>
      </w:r>
      <w:r>
        <w:rPr>
          <w:rFonts w:eastAsia="黑体"/>
        </w:rPr>
        <w:t xml:space="preserve"> 1/m </w:t>
      </w:r>
      <w:r>
        <w:rPr>
          <w:rFonts w:hint="eastAsia" w:eastAsia="黑体"/>
        </w:rPr>
        <w:t xml:space="preserve">减小，LED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平均亮度下降，需提高峰值电流补偿。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峰值电流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亮度提升，但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发热与结温升高，存在烧毁风险。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扫描频率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o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画面闪烁减弱（越接近</w:t>
      </w:r>
      <w:r>
        <w:rPr>
          <w:rFonts w:eastAsia="黑体"/>
        </w:rPr>
        <w:t xml:space="preserve"> ≥60 Hz </w:t>
      </w:r>
      <w:r>
        <w:rPr>
          <w:rFonts w:hint="eastAsia" w:eastAsia="黑体"/>
        </w:rPr>
        <w:t xml:space="preserve">越好），但开关损耗增大。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灰度位数提高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灰阶更细腻，但刷新数据带宽与时钟频率需相应提高。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16 </w:t>
      </w:r>
      <w:r>
        <w:rPr>
          <w:rFonts w:hint="eastAsia" w:eastAsia="黑体"/>
        </w:rPr>
        <w:t xml:space="preserve">行扫描（m=16）、帧率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r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sty m:val="p"/>
          </m:rPr>
          <m:t>×</m:t>
        </m:r>
        <m:r>
          <m:t>60</m:t>
        </m:r>
        <m:r>
          <m:rPr>
            <m:sty m:val="p"/>
          </m:rPr>
          <m:t>=</m:t>
        </m:r>
        <m:r>
          <m:t>960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单行全亮</w:t>
      </w:r>
      <w:r>
        <w:rPr>
          <w:rFonts w:eastAsia="黑体"/>
        </w:rPr>
        <w:t xml:space="preserve"> 64 </w:t>
      </w:r>
      <w:r>
        <w:rPr>
          <w:rFonts w:hint="eastAsia" w:eastAsia="黑体"/>
        </w:rPr>
        <w:t xml:space="preserve">列、</w:t>
      </w:r>
      <m:oMath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r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64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1.28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，平均每</w:t>
      </w:r>
      <w:r>
        <w:rPr>
          <w:rFonts w:eastAsia="黑体"/>
        </w:rPr>
        <w:t xml:space="preserve"> LED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行扫描开关：74HC138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译码器</w:t>
      </w:r>
      <w:r>
        <w:rPr>
          <w:rFonts w:eastAsia="黑体"/>
        </w:rPr>
        <w:t xml:space="preserve"> + 4953 PMOS </w:t>
      </w:r>
      <w:r>
        <w:rPr>
          <w:rFonts w:hint="eastAsia" w:eastAsia="黑体"/>
        </w:rPr>
        <w:t xml:space="preserve">行管。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列驱动恒流芯片：MBI5024、MBI5026、SM16126、TLC5940、JS78。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点阵模块：1088AS（8×8）、8×8/16×16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点阵屏。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行扫描占空比低时需按「峰值电流」校核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规格，而非平均电流。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恒流通道精度与温度漂移直接影响显示均匀性，需选择匹配度高的驱动芯片。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大屏需分区供电、就近退耦，防止行电流突变引起电源纹波与地弹。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刷新率不足会导致画面闪烁与低亮度灰阶失真。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LED display。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MBI5024 / TLC5940 </w:t>
      </w:r>
      <w:r>
        <w:rPr>
          <w:rFonts w:hint="eastAsia" w:eastAsia="黑体"/>
        </w:rPr>
        <w:t xml:space="preserve">数据手册（台湾聚积</w:t>
      </w:r>
      <w:r>
        <w:rPr>
          <w:rFonts w:eastAsia="黑体"/>
        </w:rPr>
        <w:t xml:space="preserve"> Macroblock / TI </w:t>
      </w:r>
      <w:r>
        <w:rPr>
          <w:rFonts w:hint="eastAsia" w:eastAsia="黑体"/>
        </w:rPr>
        <w:t xml:space="preserve">官网）。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《LED </w:t>
      </w:r>
      <w:r>
        <w:rPr>
          <w:rFonts w:hint="eastAsia" w:eastAsia="黑体"/>
        </w:rPr>
        <w:t xml:space="preserve">显示屏原理与工程技术》。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LED显示屏驱动电路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LED显示屏驱动电路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