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调光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调光电路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信号源（MCU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定时器/专用调光器）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开关管（以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计，或使用恒流驱动芯片的调光/使能引脚）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限流/恒流环节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LED（串/并联负载）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组成的亮度调节网络。电路共有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（限流/恒流环节输入端或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串阳极端）；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串阴极端与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相连，为限流/恒流环节与开关管的公共节点）；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与电源负端相连）。另有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信号节点</w:t>
      </w:r>
      <w:r>
        <w:rPr>
          <w:rFonts w:hint="eastAsia" w:eastAsia="黑体"/>
        </w:rPr>
        <w:t xml:space="preserve">（PWM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源输出接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或恒流芯片调光使能脚）。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信号源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输出接节点④PWM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接节点④PWM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接节点②开关节点、S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接节点③地；</w:t>
      </w:r>
      <w:r>
        <w:rPr>
          <w:rFonts w:hint="eastAsia" w:eastAsia="黑体"/>
          <w:b/>
          <w:bCs/>
        </w:rPr>
        <w:t xml:space="preserve">限流/恒流环节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一端接节点①电源正端（或串于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支路）、另一端接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对应端；</w:t>
      </w:r>
      <w:r>
        <w:rPr>
          <w:rFonts w:eastAsia="黑体"/>
          <w:b/>
          <w:bCs/>
        </w:rPr>
        <w:t xml:space="preserve">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阳极经限流/恒流环节接节点①、阴极接节点②开关节点（采用恒流芯片调光脚方案时由芯片内部开关控制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支路）。</w:t>
      </w:r>
    </w:p>
    <w:p>
      <w:pPr/>
      <w:r>
        <w:rPr>
          <w:rFonts w:hint="eastAsia" w:eastAsia="黑体"/>
        </w:rPr>
        <w:t xml:space="preserve">由此构成”PWM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通断调光”组态：PWM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方波控制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（或调光使能脚）通断，LED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在导通期间以额定（峰值）电流点亮、关断期间熄灭，改变占空比即改变人眼感知的平均亮度（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 w:eastAsia="黑体"/>
        </w:rPr>
        <w:t xml:space="preserve">），因导通电流恒定故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色温基本不变，实现无级连续调光。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在电路导通期间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以额定（峰值）电流点亮，关断期间完全熄灭；调节高低电平的时间比例（占空比），即可改变人眼感知的平均亮度。由于导通电流恒定，LED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的光谱（颜色）几乎不随亮度漂移。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×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调光分辨率（N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位定时器）：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  <m:r>
                <m:t>W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关断时间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PWM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LED </w:t>
            </w:r>
            <w:r>
              <w:rPr>
                <w:rFonts w:hint="eastAsia" w:eastAsia="黑体"/>
              </w:rPr>
              <w:t xml:space="preserve">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D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平均电流增大，LED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变亮。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可能被人眼察觉闪烁，甚至与相机、频闪源产生拍频。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频率过高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开关损耗增大，调光线性度与对比度变差。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导通峰值电流增大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亮度上限提高，但需校核</w:t>
      </w:r>
      <w:r>
        <w:rPr>
          <w:rFonts w:eastAsia="黑体"/>
        </w:rPr>
        <w:t xml:space="preserve"> LED </w:t>
      </w:r>
      <w:r>
        <w:rPr>
          <w:rFonts w:hint="eastAsia" w:eastAsia="黑体"/>
        </w:rPr>
        <w:t xml:space="preserve">允许的峰值电流与结温。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e</m:t>
            </m:r>
            <m:r>
              <m:t>a</m:t>
            </m:r>
            <m:r>
              <m:t>k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16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定时器：调光分辨率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16</m:t>
            </m:r>
          </m:sup>
        </m:sSup>
        <m:r>
          <m:rPr>
            <m:sty m:val="p"/>
          </m:rPr>
          <m:t>≈</m:t>
        </m:r>
        <m:r>
          <m:t>1.53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65536 </w:t>
      </w:r>
      <w:r>
        <w:rPr>
          <w:rFonts w:hint="eastAsia" w:eastAsia="黑体"/>
        </w:rPr>
        <w:t xml:space="preserve">级）。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发生器：任意带定时器的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MCU（STM32、ATmega328）。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恒流驱动带调光脚：MBI5024、TLC5940、PT4115（PWM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调光引脚）。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专用调光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IC：LM3409、AL8860。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频率通常取</w:t>
      </w:r>
      <w:r>
        <w:rPr>
          <w:rFonts w:eastAsia="黑体"/>
        </w:rPr>
        <w:t xml:space="preserve"> 200 </w:t>
      </w:r>
      <w:r>
        <w:rPr>
          <w:rFonts w:hint="eastAsia" w:eastAsia="黑体"/>
        </w:rPr>
        <w:t xml:space="preserve">Hz～10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kHz，避开人眼闪烁与音频可闻频段。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高频开关沿产生的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需通过布置短走线、加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缓冲缓解。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高精度调光宜采用恒流源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模拟或混合调光，避免大占空比范围内的非线性。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数字电源上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突变电流会引入纹波，注意退耦与滤波。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应用笔记（LED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调光，LM3409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TIM </w:t>
      </w:r>
      <w:r>
        <w:rPr>
          <w:rFonts w:hint="eastAsia" w:eastAsia="黑体"/>
        </w:rPr>
        <w:t xml:space="preserve">定时器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输出参考手册。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PWM调光电路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PWM调光电路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