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隔离栅极驱动电路"/>
    <w:p>
      <w:pPr>
        <w:pStyle w:val="Heading1"/>
      </w:pPr>
      <w:r>
        <w:rPr>
          <w:rFonts w:hint="eastAsia" w:eastAsia="黑体"/>
        </w:rPr>
        <w:t xml:space="preserve">隔离栅极驱动电路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隔离器件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U1（光耦/数字隔离器/变压器）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输出驱动级</w:t>
      </w:r>
      <w:r>
        <w:rPr>
          <w:rFonts w:eastAsia="黑体"/>
          <w:b/>
          <w:bCs/>
        </w:rPr>
        <w:t xml:space="preserve"> U2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功率</w:t>
      </w:r>
      <w:r>
        <w:rPr>
          <w:rFonts w:eastAsia="黑体"/>
          <w:b/>
          <w:bCs/>
        </w:rPr>
        <w:t xml:space="preserve"> MOSFET/IGBT 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组成，输入侧由低压电源供电、输出侧由独立隔离电源供电。电路共有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输入控制节点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W</m:t>
            </m:r>
            <m:r>
              <m:t>M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输入脚，接控制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PWM）；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输入侧地节点</w:t>
      </w:r>
      <w:r>
        <w:rPr>
          <w:rFonts w:eastAsia="黑体"/>
          <w:b/>
          <w:bCs/>
        </w:rPr>
        <w:t xml:space="preserve"> GND1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输入侧地脚与低压电源地）；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输出侧电源节点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供电脚与隔离电源正端）；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输出侧地节点</w:t>
      </w:r>
      <w:r>
        <w:rPr>
          <w:rFonts w:eastAsia="黑体"/>
          <w:b/>
          <w:bCs/>
        </w:rPr>
        <w:t xml:space="preserve"> GND2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地脚、隔离电源负端与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源极/发射极）；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栅极节点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输出脚经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栅/基极）；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漏极/集电极节点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漏极/集电极，接母线）；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源极/发射极节点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源极/发射极）。</w:t>
      </w:r>
    </w:p>
    <w:p>
      <w:pPr/>
      <w:r>
        <w:rPr>
          <w:rFonts w:hint="eastAsia" w:eastAsia="黑体"/>
        </w:rPr>
        <w:t xml:space="preserve">各元件管脚连接：U1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的输入脚接节点①、输入侧地脚接节点②，其输出脚接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的输入脚；U2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的供电脚接节点③、地脚接节点④、输出脚经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输出、另一端接节点⑤；Q1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的栅极（或基极）G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接节点⑤、源极（或发射极）S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接节点④、漏极（或集电极）D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接节点⑥。输入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经隔离屏障传到输出侧，输出级在隔离电源供电下对栅极充放电，实现控制侧与功率侧的电气隔离。</w:t>
      </w:r>
    </w:p>
    <w:p>
      <w:pPr/>
      <w:r>
        <w:rPr>
          <w:rFonts w:hint="eastAsia" w:eastAsia="黑体"/>
        </w:rPr>
        <w:t xml:space="preserve">由此构成”隔离屏障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独立隔离电源输出级”的隔离栅极驱动组态，阻断共模电压与高压窜入控制侧，用于高边驱动、桥式电路或安全隔离场合；输出侧地</w:t>
      </w:r>
      <w:r>
        <w:rPr>
          <w:rFonts w:eastAsia="黑体"/>
        </w:rPr>
        <w:t xml:space="preserve"> GND2 </w:t>
      </w:r>
      <w:r>
        <w:rPr>
          <w:rFonts w:hint="eastAsia" w:eastAsia="黑体"/>
        </w:rPr>
        <w:t xml:space="preserve">与输入侧地</w:t>
      </w:r>
      <w:r>
        <w:rPr>
          <w:rFonts w:eastAsia="黑体"/>
        </w:rPr>
        <w:t xml:space="preserve"> GND1 </w:t>
      </w:r>
      <w:r>
        <w:rPr>
          <w:rFonts w:hint="eastAsia" w:eastAsia="黑体"/>
        </w:rPr>
        <w:t xml:space="preserve">完全隔离。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经隔离通道（光、磁或容性耦合）传递到输出侧，输出级在隔离电源供电下对栅极充电、放电，使功率器件开关。隔离屏障阻断共模电压与高压窜入控制侧。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隔离耐压（爬电/间隙决定，选型依据）：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S</m:t>
              </m:r>
              <m:r>
                <m:t>O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电压裕量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栅极驱动电流：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驱动功耗：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共模瞬态抗扰度（选型参数）：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CMTI</m:t>
          </m:r>
          <m:r>
            <m:rPr>
              <m:sty m:val="p"/>
            </m:rPr>
            <m:t>≥</m:t>
          </m:r>
          <m:r>
            <m:t>50</m:t>
          </m:r>
          <m:r>
            <m:t> </m:t>
          </m:r>
          <m:r>
            <m:rPr>
              <m:nor/>
              <m:sty m:val="p"/>
            </m:rPr>
            <m:t>V/ns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典型要求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传播延迟与延迟失配（死区影响）：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H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p</m:t>
              </m:r>
              <m:r>
                <m:t>L</m:t>
              </m:r>
              <m:r>
                <m:t>H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隔离耐压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输出侧供电电压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栅极总电荷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L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传播延迟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死区时间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隔离电源电压升高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驱动电流增大、开关加快，但栅极应力与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R_g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开关变慢、振铃减小。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CMTI </w:t>
      </w:r>
      <w:r>
        <w:rPr>
          <w:rFonts w:hint="eastAsia" w:eastAsia="黑体"/>
          <w:b/>
          <w:bCs/>
        </w:rPr>
        <w:t xml:space="preserve">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高速</w:t>
      </w:r>
      <w:r>
        <w:rPr>
          <w:rFonts w:eastAsia="黑体"/>
        </w:rPr>
        <w:t xml:space="preserve"> dv/dt </w:t>
      </w:r>
      <w:r>
        <w:rPr>
          <w:rFonts w:hint="eastAsia" w:eastAsia="黑体"/>
        </w:rPr>
        <w:t xml:space="preserve">下误动作或数据丢失。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传播延迟失配增大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必须增加死区时间，损耗上升。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  <m:r>
              <m:rPr>
                <m:sty m:val="p"/>
              </m:rPr>
              <m:t>(</m:t>
            </m:r>
            <m:r>
              <m:t>i</m:t>
            </m:r>
            <m:r>
              <m:t>n</m:t>
            </m:r>
            <m: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1.25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r>
          <m:t>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0.045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光耦隔离驱动：TLP250、HCPL-3120、ACPL-337J。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数字隔离驱动：ISO5852S、UCC21520、Si8261。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隔离电源：SN6505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变压器、B0505S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模块。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输出侧需独立隔离电源，输入/输出两侧地必须完全隔离。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关注</w:t>
      </w:r>
      <w:r>
        <w:rPr>
          <w:rFonts w:eastAsia="黑体"/>
        </w:rPr>
        <w:t xml:space="preserve"> CMTI </w:t>
      </w:r>
      <w:r>
        <w:rPr>
          <w:rFonts w:hint="eastAsia" w:eastAsia="黑体"/>
        </w:rPr>
        <w:t xml:space="preserve">指标，高速开关场合选</w:t>
      </w:r>
      <w:r>
        <w:rPr>
          <w:rFonts w:eastAsia="黑体"/>
        </w:rPr>
        <w:t xml:space="preserve"> ≥ 50 kV/μs </w:t>
      </w:r>
      <w:r>
        <w:rPr>
          <w:rFonts w:hint="eastAsia" w:eastAsia="黑体"/>
        </w:rPr>
        <w:t xml:space="preserve">的器件。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隔离距离与爬电要满足安规要求，布局遵守隔离带规则。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隔离电源纹波与去耦要保证输出级瞬态电流需求。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SLAU618（隔离栅极驱动设计）。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ACPL-337J / TLP250 </w:t>
      </w:r>
      <w:r>
        <w:rPr>
          <w:rFonts w:hint="eastAsia" w:eastAsia="黑体"/>
        </w:rPr>
        <w:t xml:space="preserve">产品数据手册。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Galvanic isolation。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隔离栅极驱动电路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隔离栅极驱动电路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