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osfet-高边栅极驱动电路"/>
    <w:p>
      <w:pPr>
        <w:pStyle w:val="Heading1"/>
      </w:pPr>
      <w:r>
        <w:rPr>
          <w:rFonts w:eastAsia="黑体"/>
        </w:rPr>
        <w:t xml:space="preserve">MOSFET </w:t>
      </w:r>
      <w:r>
        <w:rPr>
          <w:rFonts w:hint="eastAsia" w:eastAsia="黑体"/>
        </w:rPr>
        <w:t xml:space="preserve">高边栅极驱动电路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自举二极管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自举电容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高边栅极驱动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（带</w:t>
      </w:r>
      <w:r>
        <w:rPr>
          <w:rFonts w:eastAsia="黑体"/>
          <w:b/>
          <w:bCs/>
        </w:rPr>
        <w:t xml:space="preserve"> VB/VS/HO </w:t>
      </w:r>
      <w:r>
        <w:rPr>
          <w:rFonts w:hint="eastAsia" w:eastAsia="黑体"/>
          <w:b/>
          <w:bCs/>
        </w:rPr>
        <w:t xml:space="preserve">脚）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栅极电阻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高边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沟道功率</w:t>
      </w:r>
      <w:r>
        <w:rPr>
          <w:rFonts w:eastAsia="黑体"/>
          <w:b/>
          <w:bCs/>
        </w:rPr>
        <w:t xml:space="preserve"> MOSFET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rPr>
          <w:rFonts w:hint="eastAsia" w:eastAsia="黑体"/>
          <w:b/>
          <w:bCs/>
        </w:rPr>
        <w:t xml:space="preserve">（源极接开关节点）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驱动电源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电源脚与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自举节点</w:t>
      </w:r>
      <w:r>
        <w:rPr>
          <w:rFonts w:eastAsia="黑体"/>
          <w:b/>
          <w:bCs/>
        </w:rPr>
        <w:t xml:space="preserve"> VB</w:t>
      </w:r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阴极、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VB </w:t>
      </w:r>
      <w:r>
        <w:rPr>
          <w:rFonts w:hint="eastAsia" w:eastAsia="黑体"/>
        </w:rPr>
        <w:t xml:space="preserve">脚三者相连）；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eastAsia="黑体"/>
          <w:b/>
          <w:bCs/>
        </w:rPr>
        <w:t xml:space="preserve"> VS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VS </w:t>
      </w:r>
      <w:r>
        <w:rPr>
          <w:rFonts w:hint="eastAsia" w:eastAsia="黑体"/>
        </w:rPr>
        <w:t xml:space="preserve">脚三者相连）；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栅极节点</w:t>
      </w:r>
      <w:r>
        <w:rPr>
          <w:rFonts w:eastAsia="黑体"/>
          <w:b/>
          <w:bCs/>
        </w:rPr>
        <w:t xml:space="preserve"> G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母线/漏极节点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接直流母线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阳极接节点①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、阴极接节点②自举节点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VB；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一端接节点②VB、另一端接节点③开关节点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VS；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电源脚接节点①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、VB </w:t>
      </w:r>
      <w:r>
        <w:rPr>
          <w:rFonts w:hint="eastAsia" w:eastAsia="黑体"/>
        </w:rPr>
        <w:t xml:space="preserve">脚接节点②、VS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脚接节点③、高边输出</w:t>
      </w:r>
      <w:r>
        <w:rPr>
          <w:rFonts w:eastAsia="黑体"/>
        </w:rPr>
        <w:t xml:space="preserve"> HO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接节点④栅极节点；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HO </w:t>
      </w:r>
      <w:r>
        <w:rPr>
          <w:rFonts w:hint="eastAsia" w:eastAsia="黑体"/>
        </w:rPr>
        <w:t xml:space="preserve">输出、另一端接节点④；</w:t>
      </w:r>
      <m:oMath>
        <m:sSub>
          <m:e>
            <m:r>
              <m:t>Q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接节点④栅极节点、D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接节点⑤母线/漏极节点、S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接节点③开关节点</w:t>
      </w:r>
      <w:r>
        <w:rPr>
          <w:rFonts w:eastAsia="黑体"/>
        </w:rPr>
        <w:t xml:space="preserve"> VS。</w:t>
      </w:r>
    </w:p>
    <w:p>
      <w:pPr/>
      <w:r>
        <w:rPr>
          <w:rFonts w:hint="eastAsia" w:eastAsia="黑体"/>
        </w:rPr>
        <w:t xml:space="preserve">由此构成”自举供电的高边驱动”组态：低边管导通、开关节点被拉到地时，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充电；高边需开通时，浮动的高边驱动以自举电容为电源，把栅极电压抬升到高于源极（源极即开关节点）的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hint="eastAsia" w:eastAsia="黑体"/>
        </w:rPr>
        <w:t xml:space="preserve">（约</w:t>
      </w:r>
      <w:r>
        <w:rPr>
          <w:rFonts w:eastAsia="黑体"/>
        </w:rPr>
        <w:t xml:space="preserve"> 10~15 </w:t>
      </w:r>
      <w:r>
        <w:rPr>
          <w:rFonts w:hint="eastAsia" w:eastAsia="黑体"/>
        </w:rPr>
        <w:t xml:space="preserve">V），使源极不接地的高边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沟道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可靠导通。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当低边管导通时，自举电容经自举二极管从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充电到接近电源电压；当高边管需要开通时，浮动的高边驱动以自举电容为电源，把栅极电压抬升到高于源极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hint="eastAsia" w:eastAsia="黑体"/>
        </w:rPr>
        <w:t xml:space="preserve">（通常</w:t>
      </w:r>
      <w:r>
        <w:rPr>
          <w:rFonts w:eastAsia="黑体"/>
        </w:rPr>
        <w:t xml:space="preserve"> 10~15 </w:t>
      </w:r>
      <w:r>
        <w:rPr>
          <w:rFonts w:hint="eastAsia" w:eastAsia="黑体"/>
        </w:rPr>
        <w:t xml:space="preserve">V），使高边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导通。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自举电容容量选择：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b</m:t>
              </m:r>
              <m:r>
                <m:t>o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  <m:r>
                    <m:t>B</m:t>
                  </m:r>
                  <m:r>
                    <m:t>S</m:t>
                  </m:r>
                </m:sub>
              </m:sSub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自举电压（低边导通充电后）：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b</m:t>
              </m:r>
              <m:r>
                <m:t>o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自举电容充电时间：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h</m:t>
              </m:r>
              <m:r>
                <m:t>a</m:t>
              </m:r>
              <m:r>
                <m:t>r</m:t>
              </m:r>
              <m:r>
                <m:t>g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b</m:t>
              </m:r>
              <m:r>
                <m:t>o</m:t>
              </m:r>
              <m:r>
                <m:t>o</m:t>
              </m:r>
              <m:r>
                <m:t>t</m:t>
              </m:r>
            </m:sub>
          </m:sSub>
          <m:r>
            <m:t> </m:t>
          </m:r>
          <m:sSub>
            <m:e>
              <m:r>
                <m:t>C</m:t>
              </m:r>
            </m:e>
            <m:sub>
              <m:r>
                <m:t>b</m:t>
              </m:r>
              <m:r>
                <m:t>o</m:t>
              </m:r>
              <m:r>
                <m:t>o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高边栅极驱动峰值电流：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o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/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自举电容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高边管栅极电荷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Q</m:t>
                  </m:r>
                  <m:r>
                    <m:t>B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高边驱动静态电流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高边最大导通时间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允许的自举电压跌落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驱动电源电压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自举二极管压降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低边管导通压降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自举电容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充电后电压跌落增大，长时间导通或低频时可能导致高边驱动欠压。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抗跌落能力增强，但上电建立时间变长、初始充电需额外脉冲。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自举二极管反向恢复与耐压不足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高压抖动时漏电或损坏。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增大减小均会平衡开关损耗与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EMI，同低边驱动。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nC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Q</m:t>
            </m:r>
            <m:r>
              <m:t>B</m:t>
            </m:r>
            <m:r>
              <m:t>S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b</m:t>
              </m:r>
              <m:r>
                <m:t>o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50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1</m:t>
              </m:r>
            </m:den>
          </m:f>
          <m:r>
            <m:rPr>
              <m:sty m:val="p"/>
            </m:rPr>
            <m:t>≈</m:t>
          </m:r>
          <m:r>
            <m:t>150</m:t>
          </m:r>
          <m:r>
            <m:t> </m:t>
          </m:r>
          <m:r>
            <m:rPr>
              <m:nor/>
              <m:sty m:val="p"/>
            </m:rPr>
            <m:t>nF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实际常取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∼</m:t>
        </m:r>
        <m:r>
          <m:t>2.2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以留裕量。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半桥/高边驱动：IR2110、IR2184、UCC27211、L6387。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自举二极管：1N4148、US1M、STTH1L06（快恢复）。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自举电容：X7R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贴片电容（0.1~1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μF）。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自举电容应紧靠驱动芯片</w:t>
      </w:r>
      <w:r>
        <w:rPr>
          <w:rFonts w:eastAsia="黑体"/>
        </w:rPr>
        <w:t xml:space="preserve"> HB/HS </w:t>
      </w:r>
      <w:r>
        <w:rPr>
          <w:rFonts w:hint="eastAsia" w:eastAsia="黑体"/>
        </w:rPr>
        <w:t xml:space="preserve">引脚，减小环路电感。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自举二极管需耐压高于母线电压、快恢复，避免反向恢复问题。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长时间高边持续导通时自举电压会衰减，需周期性刷新或改用隔离/电荷泵电源。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高边开关节点（HS）的负向瞬态需加以处理，防止驱动芯片误动作。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Bootstrap circuit。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IR2110 / UCC27211 </w:t>
      </w:r>
      <w:r>
        <w:rPr>
          <w:rFonts w:hint="eastAsia" w:eastAsia="黑体"/>
        </w:rPr>
        <w:t xml:space="preserve">数据手册（Infineon</w:t>
      </w:r>
      <w:r>
        <w:rPr>
          <w:rFonts w:eastAsia="黑体"/>
        </w:rPr>
        <w:t xml:space="preserve"> / TI </w:t>
      </w:r>
      <w:r>
        <w:rPr>
          <w:rFonts w:hint="eastAsia" w:eastAsia="黑体"/>
        </w:rPr>
        <w:t xml:space="preserve">官方）。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英飞凌/TI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应用笔记：高边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自举驱动设计。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MOSFET高边栅极驱动电路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MOSFET高边栅极驱动电路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