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红外对射检测电路"/>
    <w:p>
      <w:pPr>
        <w:pStyle w:val="Heading1"/>
      </w:pPr>
      <w:r>
        <w:rPr>
          <w:rFonts w:hint="eastAsia" w:eastAsia="黑体"/>
        </w:rPr>
        <w:t xml:space="preserve">红外对射检测电路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红外发射管（IR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LED）</w:t>
      </w:r>
      <m:oMath>
        <m:sSub>
          <m:e>
            <m:r>
              <m:t>D</m:t>
            </m:r>
          </m:e>
          <m:sub>
            <m:r>
              <m:t>L</m:t>
            </m:r>
            <m:r>
              <m:t>E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限流电阻</w:t>
      </w:r>
      <w:r>
        <w:rPr>
          <w:rFonts w:eastAsia="黑体"/>
          <w:b/>
          <w:bCs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组成发射链路，以及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红外接收管（光电二极管/三极管）</w:t>
      </w:r>
      <m:oMath>
        <m:sSub>
          <m:e>
            <m:r>
              <m:t>Q</m:t>
            </m:r>
          </m:e>
          <m:sub>
            <m:r>
              <m:t>r</m:t>
            </m:r>
            <m:r>
              <m:t>e</m:t>
            </m:r>
            <m:r>
              <m:t>c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负载电阻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比较器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组成接收链路。发射链共有</w:t>
      </w:r>
      <w:r>
        <w:rPr>
          <w:rFonts w:eastAsia="黑体"/>
        </w:rPr>
        <w:t xml:space="preserve"> 3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发射电源节点</w:t>
      </w:r>
      <w:r>
        <w:rPr>
          <w:rFonts w:hint="eastAsia" w:eastAsia="黑体"/>
        </w:rPr>
        <w:t xml:space="preserve">（+VCC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的上端相连）；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LED </w:t>
      </w:r>
      <w:r>
        <w:rPr>
          <w:rFonts w:hint="eastAsia" w:eastAsia="黑体"/>
          <w:b/>
          <w:bCs/>
        </w:rPr>
        <w:t xml:space="preserve">阳极节点</w:t>
      </w:r>
      <w:r>
        <w:rPr>
          <w:rFonts w:hint="eastAsia" w:eastAsia="黑体"/>
        </w:rPr>
        <w:t xml:space="preserve">（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的下端与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L</m:t>
            </m:r>
            <m:r>
              <m:t>E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的阳极相连）；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发射地节点</w:t>
      </w:r>
      <w:r>
        <w:rPr>
          <w:rFonts w:hint="eastAsia" w:eastAsia="黑体"/>
        </w:rPr>
        <w:t xml:space="preserve">（</w:t>
      </w:r>
      <m:oMath>
        <m:sSub>
          <m:e>
            <m:r>
              <m:t>D</m:t>
            </m:r>
          </m:e>
          <m:sub>
            <m:r>
              <m:t>L</m:t>
            </m:r>
            <m:r>
              <m:t>E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的阴极接地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GND）。接收链共有</w:t>
      </w:r>
      <w:r>
        <w:rPr>
          <w:rFonts w:eastAsia="黑体"/>
        </w:rPr>
        <w:t xml:space="preserve"> 3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接收电源节点</w:t>
      </w:r>
      <w:r>
        <w:rPr>
          <w:rFonts w:hint="eastAsia" w:eastAsia="黑体"/>
        </w:rPr>
        <w:t xml:space="preserve">（+VCC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的上端相连）；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接收输出节点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的下端、接收管的集电极/阴极与比较器输入相连，作为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接收地节点</w:t>
      </w:r>
      <w:r>
        <w:rPr>
          <w:rFonts w:hint="eastAsia" w:eastAsia="黑体"/>
        </w:rPr>
        <w:t xml:space="preserve">（接收管的发射极/阳极接地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GND）。</w:t>
      </w:r>
    </w:p>
    <w:p>
      <w:pPr/>
      <w:r>
        <w:rPr>
          <w:rFonts w:hint="eastAsia" w:eastAsia="黑体"/>
        </w:rPr>
        <w:t xml:space="preserve">各元件管脚连接：发射端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一端接节点①、另一端接节点②，</w:t>
      </w:r>
      <m:oMath>
        <m:sSub>
          <m:e>
            <m:r>
              <m:t>D</m:t>
            </m:r>
          </m:e>
          <m:sub>
            <m:r>
              <m:t>L</m:t>
            </m:r>
            <m:r>
              <m:t>E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阳极接节点②、阴极接节点③；接收端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一端接节点④、另一端接节点⑤，</w:t>
      </w:r>
      <m:oMath>
        <m:sSub>
          <m:e>
            <m:r>
              <m:t>Q</m:t>
            </m:r>
          </m:e>
          <m:sub>
            <m:r>
              <m:t>r</m:t>
            </m:r>
            <m:r>
              <m:t>e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（光电三极管）集电极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接节点⑤、发射极</w:t>
      </w:r>
      <w:r>
        <w:rPr>
          <w:rFonts w:eastAsia="黑体"/>
        </w:rPr>
        <w:t xml:space="preserve"> E </w:t>
      </w:r>
      <w:r>
        <w:rPr>
          <w:rFonts w:hint="eastAsia" w:eastAsia="黑体"/>
        </w:rPr>
        <w:t xml:space="preserve">接节点⑥（若为光电二极管则阳极接节点⑥、阴极接节点⑤），</w:t>
      </w:r>
      <w:r>
        <w:rPr>
          <w:rFonts w:hint="eastAsia" w:eastAsia="黑体"/>
          <w:b/>
          <w:bCs/>
        </w:rPr>
        <w:t xml:space="preserve">比较器</w:t>
      </w:r>
      <w:r>
        <w:rPr>
          <w:rFonts w:hint="eastAsia" w:eastAsia="黑体"/>
        </w:rPr>
        <w:t xml:space="preserve">输入接节点⑤。</w:t>
      </w:r>
    </w:p>
    <w:p>
      <w:pPr/>
      <w:r>
        <w:rPr>
          <w:rFonts w:hint="eastAsia" w:eastAsia="黑体"/>
        </w:rPr>
        <w:t xml:space="preserve">由此构成”红外发射限流驱动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红外接收经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成压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比较器阈值”的对射式开关组态，物体遮挡光路时接收信号骤降、比较器翻转输出，用于计数、报警与接近检测。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红外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发射的红外光被接收管接收，接收管产生光电流并在负载电阻上形成电压；当物体遮断光路时接收信号骤降，比较器与阈值比较后翻转输出，从而判断有无物体。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红外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限流：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占空比与平均电流（调制发射）：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a</m:t>
              </m:r>
              <m:r>
                <m:t>v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⋅</m:t>
          </m:r>
          <m:r>
            <m:t>D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接收端输出电压：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L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脉冲调制频率（抗环境光干扰常用</w:t>
      </w:r>
      <w:r>
        <w:rPr>
          <w:rFonts w:eastAsia="黑体"/>
        </w:rPr>
        <w:t xml:space="preserve"> 38 </w:t>
      </w:r>
      <w:r>
        <w:rPr>
          <w:rFonts w:hint="eastAsia" w:eastAsia="黑体"/>
        </w:rPr>
        <w:t xml:space="preserve">kHz）：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m</m:t>
              </m:r>
              <m:r>
                <m:t>o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E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发光管电流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电源电压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红外管正向压降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限流电阻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接收负载电阻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 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I_LED </w:t>
      </w:r>
      <w:r>
        <w:rPr>
          <w:rFonts w:hint="eastAsia" w:eastAsia="黑体"/>
        </w:rPr>
        <w:t xml:space="preserve">增大，发射更强、检测距离变远，但勿超过峰值电流。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功耗降低，但检测距离变近。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调制频率/占空比调整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影响抗干扰能力与平均功耗。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接收负载</w:t>
      </w:r>
      <w:r>
        <w:rPr>
          <w:rFonts w:eastAsia="黑体"/>
          <w:b/>
          <w:bCs/>
        </w:rPr>
        <w:t xml:space="preserve"> R_L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灵敏度增大，但响应变慢、易误触发。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、目标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 w:eastAsia="黑体"/>
        </w:rPr>
        <w:t xml:space="preserve">：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−</m:t>
            </m:r>
            <m:r>
              <m:t>1.2</m:t>
            </m:r>
          </m:num>
          <m:den>
            <m:r>
              <m:t>20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190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（取</w:t>
      </w:r>
      <w:r>
        <w:rPr>
          <w:rFonts w:eastAsia="黑体"/>
        </w:rPr>
        <w:t xml:space="preserve"> 200 Ω </w:t>
      </w:r>
      <w:r>
        <w:rPr>
          <w:rFonts w:hint="eastAsia" w:eastAsia="黑体"/>
        </w:rPr>
        <w:t xml:space="preserve">标准值）。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调制发射占空比</w:t>
      </w:r>
      <w:r>
        <w:rPr>
          <w:rFonts w:eastAsia="黑体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时：</w:t>
      </w:r>
      <m:oMath>
        <m:sSub>
          <m:e>
            <m:r>
              <m:t>I</m:t>
            </m:r>
          </m:e>
          <m:sub>
            <m:r>
              <m:t>a</m:t>
            </m:r>
            <m:r>
              <m:t>v</m:t>
            </m:r>
            <m:r>
              <m:t>g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红外发射管：TSAL6200（950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nm）、IR333。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接收头：VS1838B、HS0038（38</w:t>
      </w:r>
      <w:r>
        <w:rPr>
          <w:rFonts w:eastAsia="黑体"/>
        </w:rPr>
        <w:t xml:space="preserve"> kHz </w:t>
      </w:r>
      <w:r>
        <w:rPr>
          <w:rFonts w:hint="eastAsia" w:eastAsia="黑体"/>
        </w:rPr>
        <w:t xml:space="preserve">一体化接收头）。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比较器：LM393。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采用</w:t>
      </w:r>
      <w:r>
        <w:rPr>
          <w:rFonts w:eastAsia="黑体"/>
        </w:rPr>
        <w:t xml:space="preserve"> 38 kHz </w:t>
      </w:r>
      <w:r>
        <w:rPr>
          <w:rFonts w:hint="eastAsia" w:eastAsia="黑体"/>
        </w:rPr>
        <w:t xml:space="preserve">调制可有效抑制阳光、白炽灯等环境光干扰。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对射式响应快、距离远但对准要求高；易受高温物体红外辐射误触发。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发射管需限流，脉冲调制时注意峰值电流不超过器件额定值。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镜头脏污或误对准会导致灵敏度下降。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Infrared。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《传感器与检测技术》。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红外对射检测电路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红外对射检测电路</dc:title>
  <dc:creator>AI 智能体</dc:creator>
  <cp:keywords/>
  <dcterms:created xsi:type="dcterms:W3CDTF">2026-09-08T14:37:21Z</dcterms:created>
  <dcterms:modified xsi:type="dcterms:W3CDTF">2026-09-08T14:37:21Z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