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阻式湿度传感器电路"/>
    <w:p>
      <w:pPr>
        <w:pStyle w:val="Heading1"/>
      </w:pPr>
      <w:r>
        <w:rPr>
          <w:rFonts w:hint="eastAsia" w:eastAsia="黑体"/>
        </w:rPr>
        <w:t xml:space="preserve">电阻式湿度传感器电路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感湿电阻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（吸湿性电解质/陶瓷/高分子材料）、</w:t>
      </w:r>
      <w:r>
        <w:rPr>
          <w:rFonts w:hint="eastAsia" w:eastAsia="黑体"/>
          <w:b/>
          <w:bCs/>
        </w:rPr>
        <w:t xml:space="preserve">固定电阻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激励源/参考电压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组成分压检测网络，输出送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或运放调理。电路共有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激励节点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（连交流激励/参考电压正端与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分压节点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一端，为输出取样点）；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另一端与激励负端）；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v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经缓冲后接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一端接节点②、另一端接节点③，与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串联分压；输出由节点②（或经运放缓冲后的节点④）取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（若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在上臂）或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在下臂）。水分子吸附使感湿材料离子电导增大、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随湿度升高而减小，分压比随之改变。</w:t>
      </w:r>
    </w:p>
    <w:p>
      <w:pPr/>
      <w:r>
        <w:rPr>
          <w:rFonts w:hint="eastAsia" w:eastAsia="黑体"/>
        </w:rPr>
        <w:t xml:space="preserve">由此构成”感湿电阻与固定电阻串联分压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ADC/运放调理”的电阻式湿度测量组态，把阻值随湿度的变化转换为电压，激励须用低频交流以避免电极极化。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水分子吸附使感湿材料离子电导增大，电阻</w:t>
      </w:r>
      <w:r>
        <w:rPr>
          <w:rFonts w:eastAsia="黑体"/>
        </w:rPr>
        <w:t xml:space="preserve"> R_H </w:t>
      </w:r>
      <w:r>
        <w:rPr>
          <w:rFonts w:hint="eastAsia" w:eastAsia="黑体"/>
        </w:rPr>
        <w:t xml:space="preserve">随湿度升高而减小；分压网络将阻值变化转换为电压变化，实现湿度—电压转换。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阻值—湿度近似关系：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R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交流激励（避免极化）频率：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 w:eastAsia="黑体"/>
        </w:rPr>
        <w:t xml:space="preserve">（典型</w:t>
      </w:r>
      <w:r>
        <w:rPr>
          <w:rFonts w:eastAsia="黑体"/>
        </w:rPr>
        <w:t xml:space="preserve"> 1 kHz </w:t>
      </w:r>
      <w:r>
        <w:rPr>
          <w:rFonts w:hint="eastAsia" w:eastAsia="黑体"/>
        </w:rPr>
        <w:t xml:space="preserve">左右）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感湿电阻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固定分压电阻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H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相对湿度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%RH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器件常数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经验指数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R1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分压灵敏度改变，最灵敏区出现在</w:t>
      </w:r>
      <w:r>
        <w:rPr>
          <w:rFonts w:eastAsia="黑体"/>
        </w:rPr>
        <w:t xml:space="preserve"> R1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R_H </w:t>
      </w:r>
      <w:r>
        <w:rPr>
          <w:rFonts w:hint="eastAsia" w:eastAsia="黑体"/>
        </w:rPr>
        <w:t xml:space="preserve">相当时。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湿度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R_H </w:t>
      </w:r>
      <w:r>
        <w:rPr>
          <w:rFonts w:hint="eastAsia" w:eastAsia="黑体"/>
        </w:rPr>
        <w:t xml:space="preserve">下降，输出电压随分压位置极性变化。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激励频率</w:t>
      </w:r>
      <w:r>
        <w:rPr>
          <w:rFonts w:eastAsia="黑体"/>
          <w:b/>
          <w:bCs/>
        </w:rPr>
        <w:t xml:space="preserve"> ↑/↓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影响极化与稳定性，直流激励会加速电极极化破坏。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湿敏材料电阻变化范围可达数个数量级，需分段或对数处理。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、湿度</w:t>
      </w:r>
      <w:r>
        <w:rPr>
          <w:rFonts w:eastAsia="黑体"/>
        </w:rPr>
        <w:t xml:space="preserve"> 50%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（R_H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接下臂）：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湿度升高到</w:t>
      </w:r>
      <w:r>
        <w:rPr>
          <w:rFonts w:eastAsia="黑体"/>
        </w:rPr>
        <w:t xml:space="preserve"> 80%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降至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kΩ：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≈</m:t>
        </m:r>
        <m:r>
          <m:t>4.17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电阻式湿度传感器：HR202、HR31（湿敏电阻）。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后级运放/比较器：LM358、LM393。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必须用交流激励，直流会引发电极极化导致失效与漂移。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阻值受温度影响大，需温度补偿或查表校正。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传感器有响应时间与迟滞，不适合快速变化测量。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避免结露与污染，长期高湿会加速老化。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Hygrometer。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《传感器与检测技术》。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电阻式湿度传感器电路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电阻式湿度传感器电路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