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激光测距电路"/>
    <w:p>
      <w:pPr>
        <w:pStyle w:val="Heading1"/>
      </w:pPr>
      <w:r>
        <w:rPr>
          <w:rFonts w:hint="eastAsia" w:eastAsia="黑体"/>
        </w:rPr>
        <w:t xml:space="preserve">激光测距电路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元件组成与节点定义：由</w:t>
      </w:r>
      <w:r>
        <w:rPr>
          <w:rFonts w:hint="eastAsia" w:eastAsia="黑体"/>
          <w:b/>
          <w:bCs/>
        </w:rPr>
        <w:t xml:space="preserve">激光二极管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LD（D1）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发射驱动电路（驱动管与限流/储能元件）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发射/接收光学系统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光电探测器</w:t>
      </w:r>
      <w:r>
        <w:rPr>
          <w:rFonts w:eastAsia="黑体"/>
          <w:b/>
          <w:bCs/>
        </w:rPr>
        <w:t xml:space="preserve"> APD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PD（D2）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高精度时间数字转换器（TDC）或相位解调电路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主控</w:t>
      </w:r>
      <w:r>
        <w:rPr>
          <w:rFonts w:eastAsia="黑体"/>
          <w:b/>
          <w:bCs/>
        </w:rPr>
        <w:t xml:space="preserve"> 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发射驱动节点</w:t>
      </w:r>
      <w:r>
        <w:rPr>
          <w:rFonts w:hint="eastAsia" w:eastAsia="黑体"/>
        </w:rPr>
        <w:t xml:space="preserve">（LD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一端与驱动管输出相连）；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LD </w:t>
      </w:r>
      <w:r>
        <w:rPr>
          <w:rFonts w:hint="eastAsia" w:eastAsia="黑体"/>
          <w:b/>
          <w:bCs/>
        </w:rPr>
        <w:t xml:space="preserve">限流节点</w:t>
      </w:r>
      <w:r>
        <w:rPr>
          <w:rFonts w:hint="eastAsia" w:eastAsia="黑体"/>
        </w:rPr>
        <w:t xml:space="preserve">（LD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另一端经限流电阻/储能电容接地或接电源）；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探测器偏置节点</w:t>
      </w:r>
      <w:r>
        <w:rPr>
          <w:rFonts w:hint="eastAsia" w:eastAsia="黑体"/>
        </w:rPr>
        <w:t xml:space="preserve">（APD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反向高压偏置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信号输出节点</w:t>
      </w:r>
      <w:r>
        <w:rPr>
          <w:rFonts w:hint="eastAsia" w:eastAsia="黑体"/>
        </w:rPr>
        <w:t xml:space="preserve">（APD/PD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阴极输出光电流，经负载/跨阻电阻）；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TDC/解调输入节点</w:t>
      </w:r>
      <w:r>
        <w:rPr>
          <w:rFonts w:hint="eastAsia" w:eastAsia="黑体"/>
        </w:rPr>
        <w:t xml:space="preserve">（START/STOP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或相位比较输入）；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MCU </w:t>
      </w:r>
      <w:r>
        <w:rPr>
          <w:rFonts w:hint="eastAsia" w:eastAsia="黑体"/>
          <w:b/>
          <w:bCs/>
        </w:rPr>
        <w:t xml:space="preserve">接口节点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LD（D1）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一端接发射驱动节点①、另一端经限流电阻接电源；</w:t>
      </w:r>
      <w:r>
        <w:rPr>
          <w:rFonts w:hint="eastAsia" w:eastAsia="黑体"/>
          <w:b/>
          <w:bCs/>
        </w:rPr>
        <w:t xml:space="preserve">发射驱动管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集电极接发射驱动节点①、发射极接地、基极（或栅极）接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的发射触发脚；</w:t>
      </w:r>
      <w:r>
        <w:rPr>
          <w:rFonts w:hint="eastAsia" w:eastAsia="黑体"/>
          <w:b/>
          <w:bCs/>
        </w:rPr>
        <w:t xml:space="preserve">APD/PD（D2）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一端接探测器偏置节点③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hint="eastAsia" w:eastAsia="黑体"/>
        </w:rPr>
        <w:t xml:space="preserve">、另一端接信号输出节点④，并经负载电阻（或跨阻放大器）把光电流转成电压；</w:t>
      </w:r>
      <w:r>
        <w:rPr>
          <w:rFonts w:hint="eastAsia" w:eastAsia="黑体"/>
          <w:b/>
          <w:bCs/>
        </w:rPr>
        <w:t xml:space="preserve">跨阻/放大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输入接信号输出节点④、输出接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TDC/解调输入节点⑤；</w:t>
      </w:r>
      <w:r>
        <w:rPr>
          <w:rFonts w:eastAsia="黑体"/>
          <w:b/>
          <w:bCs/>
        </w:rPr>
        <w:t xml:space="preserve">TDC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START </w:t>
      </w:r>
      <w:r>
        <w:rPr>
          <w:rFonts w:hint="eastAsia" w:eastAsia="黑体"/>
        </w:rPr>
        <w:t xml:space="preserve">接发射触发沿、STOP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接回波沿、数据脚接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接口节点⑥；</w:t>
      </w:r>
      <w:r>
        <w:rPr>
          <w:rFonts w:eastAsia="黑体"/>
          <w:b/>
          <w:bCs/>
        </w:rPr>
        <w:t xml:space="preserve">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发射触发脚、数据/控制脚接相应节点，供电与地接</w:t>
      </w:r>
      <w:r>
        <w:rPr>
          <w:rFonts w:eastAsia="黑体"/>
        </w:rPr>
        <w:t xml:space="preserve"> ±VCC/GND。</w:t>
      </w:r>
    </w:p>
    <w:p>
      <w:pPr/>
      <w:r>
        <w:rPr>
          <w:rFonts w:hint="eastAsia" w:eastAsia="黑体"/>
        </w:rPr>
        <w:t xml:space="preserve">由此构成”LD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脉冲或调制发射、APD/PD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接收并放大、TDC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测时（或相位解调）后由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解算距离”的激光测距组态，直接法按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t</m:t>
            </m:r>
          </m:e>
          <m:sub>
            <m:r>
              <m:t>R</m:t>
            </m:r>
            <m:r>
              <m:t>T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eastAsia="黑体"/>
        </w:rPr>
        <w:t xml:space="preserve">、相位法按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Δ</m:t>
        </m:r>
        <m:r>
          <m:t>ϕ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r>
          <m:t>π</m:t>
        </m:r>
        <m:sSub>
          <m:e>
            <m:r>
              <m:t>f</m:t>
            </m:r>
          </m:e>
          <m:sub>
            <m:r>
              <m:rPr>
                <m:nor/>
                <m:sty m:val="p"/>
              </m:rPr>
              <m:t>mod</m:t>
            </m:r>
          </m:sub>
        </m:sSub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计算。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直接法测量激光脉冲往返时间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，按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c</m:t>
        </m:r>
        <m:sSub>
          <m:e>
            <m:r>
              <m:t>t</m:t>
            </m:r>
          </m:e>
          <m:sub>
            <m:r>
              <m:t>R</m:t>
            </m:r>
            <m:r>
              <m:t>T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求距离；相位法发射调制光、测量发射与接收信号相位差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ϕ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推算距离。探测器多采用雪崩光电二极管（APD）以提高灵敏度。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距离与往返时间：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距离分辨率（直接法）：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相位法测距：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ϕ</m:t>
              </m:r>
            </m:num>
            <m:den>
              <m:r>
                <m:t>4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mod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最大无模糊距离（相位法）：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mod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被测距离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光速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往返时间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时间分辨率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ϕ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相位差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mod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TDC </w:t>
      </w:r>
      <w:r>
        <w:rPr>
          <w:rFonts w:hint="eastAsia" w:eastAsia="黑体"/>
          <w:b/>
          <w:bCs/>
        </w:rPr>
        <w:t xml:space="preserve">分辨率提高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距离分辨率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调制频率升高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相位法分辨率提高，但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激光峰值功率增大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量程增大、信噪比提高，但需注意激光安全。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探测器灵敏度（APD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增益）提高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远距弱信号检测能力增强，但噪声也放大。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直接法时间分辨率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ps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  <m:r>
              <m:rPr>
                <m:sty m:val="p"/>
              </m:rPr>
              <m:t>×</m:t>
            </m:r>
            <m:r>
              <m:t>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7.5</m:t>
        </m:r>
        <m:r>
          <m:t> </m:t>
        </m:r>
        <m:r>
          <m:rPr>
            <m:nor/>
            <m:sty m:val="p"/>
          </m:rPr>
          <m:t>mm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相位法取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mod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：最大无模糊距离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den>
        </m:f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集成测距方案：VL53L1X（ST）、LiDAR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前端芯片（如</w:t>
      </w:r>
      <w:r>
        <w:rPr>
          <w:rFonts w:eastAsia="黑体"/>
        </w:rPr>
        <w:t xml:space="preserve"> TDC7200 </w:t>
      </w:r>
      <w:r>
        <w:rPr>
          <w:rFonts w:hint="eastAsia" w:eastAsia="黑体"/>
        </w:rPr>
        <w:t xml:space="preserve">配合）。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激光二极管驱动：常用：按需选型。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激光安全等级必须达标（Class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1/1M），控制峰值功率与发射角。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远距测量受大气衰减、目标反射率影响较大。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APD </w:t>
      </w:r>
      <w:r>
        <w:rPr>
          <w:rFonts w:hint="eastAsia" w:eastAsia="黑体"/>
        </w:rPr>
        <w:t xml:space="preserve">需高压偏置（数十至数百伏），需配套升压并注意温度补偿。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Laser rangefinder / Lidar。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TDC7200 </w:t>
      </w:r>
      <w:r>
        <w:rPr>
          <w:rFonts w:hint="eastAsia" w:eastAsia="黑体"/>
        </w:rPr>
        <w:t xml:space="preserve">产品页（时间数字转换应用）。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《激光测距》相关教材。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激光测距电路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激光测距电路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