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蓝牙收发电路"/>
    <w:p>
      <w:pPr>
        <w:pStyle w:val="Heading1"/>
      </w:pPr>
      <w:r>
        <w:rPr>
          <w:rFonts w:hint="eastAsia" w:eastAsia="黑体"/>
        </w:rPr>
        <w:t xml:space="preserve">蓝牙收发电路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蓝牙芯片/模组（如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nRF52832、CC2541、ESP32，集成基带与射频收发机）U1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晶振</w:t>
      </w:r>
      <w:r>
        <w:rPr>
          <w:rFonts w:eastAsia="黑体"/>
          <w:b/>
          <w:bCs/>
        </w:rPr>
        <w:t xml:space="preserve"> Y1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天线及匹配网络（含巴伦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Balun）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电源滤波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组成，按功能分为射频、时钟、电源与接口四类。模组内部集成</w:t>
      </w:r>
      <w:r>
        <w:rPr>
          <w:rFonts w:eastAsia="黑体"/>
        </w:rPr>
        <w:t xml:space="preserve"> 2.4 GHz </w:t>
      </w:r>
      <w:r>
        <w:rPr>
          <w:rFonts w:hint="eastAsia" w:eastAsia="黑体"/>
        </w:rPr>
        <w:t xml:space="preserve">射频前端与协议栈，外接天线即可建立蓝牙连接。电路共有</w:t>
      </w:r>
      <w:r>
        <w:rPr>
          <w:rFonts w:eastAsia="黑体"/>
        </w:rPr>
        <w:t xml:space="preserve"> 6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天线射频节点</w:t>
      </w:r>
      <w:r>
        <w:rPr>
          <w:rFonts w:hint="eastAsia" w:eastAsia="黑体"/>
        </w:rPr>
        <w:t xml:space="preserve">（天线与匹配网络相连）；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巴伦单端节点</w:t>
      </w:r>
      <w:r>
        <w:rPr>
          <w:rFonts w:hint="eastAsia" w:eastAsia="黑体"/>
        </w:rPr>
        <w:t xml:space="preserve">（匹配网络与巴伦单端脚相连）；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差分射频节点</w:t>
      </w:r>
      <w:r>
        <w:rPr>
          <w:rFonts w:hint="eastAsia" w:eastAsia="黑体"/>
        </w:rPr>
        <w:t xml:space="preserve">（巴伦差分支路接</w:t>
      </w:r>
      <w:r>
        <w:rPr>
          <w:rFonts w:eastAsia="黑体"/>
        </w:rPr>
        <w:t xml:space="preserve"> U1 </w:t>
      </w:r>
      <w:r>
        <w:rPr>
          <w:rFonts w:hint="eastAsia" w:eastAsia="黑体"/>
        </w:rPr>
        <w:t xml:space="preserve">的差分射频脚）；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参考时钟节点</w:t>
      </w:r>
      <w:r>
        <w:rPr>
          <w:rFonts w:hint="eastAsia" w:eastAsia="黑体"/>
        </w:rPr>
        <w:t xml:space="preserve">（Y1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U1 </w:t>
      </w:r>
      <w:r>
        <w:rPr>
          <w:rFonts w:hint="eastAsia" w:eastAsia="黑体"/>
        </w:rPr>
        <w:t xml:space="preserve">的晶振脚相连）；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电源节点</w:t>
      </w:r>
      <w:r>
        <w:rPr>
          <w:rFonts w:eastAsia="黑体"/>
          <w:b/>
          <w:bCs/>
        </w:rPr>
        <w:t xml:space="preserve"> +VCC</w:t>
      </w:r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节点⑥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地节点</w:t>
      </w:r>
      <w:r>
        <w:rPr>
          <w:rFonts w:eastAsia="黑体"/>
          <w:b/>
          <w:bCs/>
        </w:rPr>
        <w:t xml:space="preserve"> GND</w:t>
      </w:r>
      <w:r>
        <w:rPr>
          <w:rFonts w:eastAsia="黑体"/>
        </w:rPr>
        <w:t xml:space="preserve">。</w:t>
      </w:r>
    </w:p>
    <w:p>
      <w:pPr/>
      <w:r>
        <w:rPr>
          <w:rFonts w:hint="eastAsia" w:eastAsia="黑体"/>
        </w:rPr>
        <w:t xml:space="preserve">各元件管脚连接：</w:t>
      </w:r>
      <w:r>
        <w:rPr>
          <w:rFonts w:hint="eastAsia" w:eastAsia="黑体"/>
          <w:b/>
          <w:bCs/>
        </w:rPr>
        <w:t xml:space="preserve">天线</w:t>
      </w:r>
      <w:r>
        <w:rPr>
          <w:rFonts w:hint="eastAsia" w:eastAsia="黑体"/>
        </w:rPr>
        <w:t xml:space="preserve">的馈电端接节点①；</w:t>
      </w:r>
      <w:r>
        <w:rPr>
          <w:rFonts w:hint="eastAsia" w:eastAsia="黑体"/>
          <w:b/>
          <w:bCs/>
        </w:rPr>
        <w:t xml:space="preserve">匹配网络</w:t>
      </w:r>
      <w:r>
        <w:rPr>
          <w:rFonts w:hint="eastAsia" w:eastAsia="黑体"/>
        </w:rPr>
        <w:t xml:space="preserve">一端接节点①、另一端接节点②；</w:t>
      </w:r>
      <w:r>
        <w:rPr>
          <w:rFonts w:hint="eastAsia" w:eastAsia="黑体"/>
          <w:b/>
          <w:bCs/>
        </w:rPr>
        <w:t xml:space="preserve">巴伦</w:t>
      </w:r>
      <w:r>
        <w:rPr>
          <w:rFonts w:hint="eastAsia" w:eastAsia="黑体"/>
        </w:rPr>
        <w:t xml:space="preserve">的单端脚接节点②、两个差分脚接节点③；</w:t>
      </w:r>
      <w:r>
        <w:rPr>
          <w:rFonts w:eastAsia="黑体"/>
          <w:b/>
          <w:bCs/>
        </w:rPr>
        <w:t xml:space="preserve">U1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的差分射频脚（RF+/RF−）接节点③，晶振脚（XTAL）接节点④，电源脚（VDD、AVDD）接节点⑤、地脚</w:t>
      </w:r>
      <w:r>
        <w:rPr>
          <w:rFonts w:eastAsia="黑体"/>
        </w:rPr>
        <w:t xml:space="preserve"> GND </w:t>
      </w:r>
      <w:r>
        <w:rPr>
          <w:rFonts w:hint="eastAsia" w:eastAsia="黑体"/>
        </w:rPr>
        <w:t xml:space="preserve">接节点⑥；</w:t>
      </w:r>
      <w:r>
        <w:rPr>
          <w:rFonts w:eastAsia="黑体"/>
          <w:b/>
          <w:bCs/>
        </w:rPr>
        <w:t xml:space="preserve">Y1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两端分别接节点④与负载电容（或地）；</w:t>
      </w:r>
      <w:r>
        <w:rPr>
          <w:rFonts w:hint="eastAsia" w:eastAsia="黑体"/>
          <w:b/>
          <w:bCs/>
        </w:rPr>
        <w:t xml:space="preserve">去耦电容</w:t>
      </w:r>
      <w:r>
        <w:rPr>
          <w:rFonts w:hint="eastAsia" w:eastAsia="黑体"/>
        </w:rPr>
        <w:t xml:space="preserve">跨接在节点⑤与⑥之间。</w:t>
      </w:r>
    </w:p>
    <w:p>
      <w:pPr/>
      <w:r>
        <w:rPr>
          <w:rFonts w:hint="eastAsia" w:eastAsia="黑体"/>
        </w:rPr>
        <w:t xml:space="preserve">由此构成”数据经模组内</w:t>
      </w:r>
      <w:r>
        <w:rPr>
          <w:rFonts w:eastAsia="黑体"/>
        </w:rPr>
        <w:t xml:space="preserve"> GFSK </w:t>
      </w:r>
      <w:r>
        <w:rPr>
          <w:rFonts w:hint="eastAsia" w:eastAsia="黑体"/>
        </w:rPr>
        <w:t xml:space="preserve">调制、经巴伦与匹配网络辐射</w:t>
      </w:r>
      <w:r>
        <w:rPr>
          <w:rFonts w:eastAsia="黑体"/>
        </w:rPr>
        <w:t xml:space="preserve"> 2.4 GHz </w:t>
      </w:r>
      <w:r>
        <w:rPr>
          <w:rFonts w:hint="eastAsia" w:eastAsia="黑体"/>
        </w:rPr>
        <w:t xml:space="preserve">信号并按跳频收发，接收时反向解调”的</w:t>
      </w:r>
      <w:r>
        <w:rPr>
          <w:rFonts w:eastAsia="黑体"/>
        </w:rPr>
        <w:t xml:space="preserve"> Bluetooth </w:t>
      </w:r>
      <w:r>
        <w:rPr>
          <w:rFonts w:hint="eastAsia" w:eastAsia="黑体"/>
        </w:rPr>
        <w:t xml:space="preserve">短距离无线通信收发组态。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蓝牙采用高斯频移键控（GFSK）等调制，在全</w:t>
      </w:r>
      <w:r>
        <w:rPr>
          <w:rFonts w:eastAsia="黑体"/>
        </w:rPr>
        <w:t xml:space="preserve"> 80 </w:t>
      </w:r>
      <w:r>
        <w:rPr>
          <w:rFonts w:hint="eastAsia" w:eastAsia="黑体"/>
        </w:rPr>
        <w:t xml:space="preserve">个</w:t>
      </w:r>
      <w:r>
        <w:rPr>
          <w:rFonts w:eastAsia="黑体"/>
        </w:rPr>
        <w:t xml:space="preserve"> 1 MHz </w:t>
      </w:r>
      <w:r>
        <w:rPr>
          <w:rFonts w:hint="eastAsia" w:eastAsia="黑体"/>
        </w:rPr>
        <w:t xml:space="preserve">信道（BLE）上进行跳频，配合时分双工在主从之间交换数据包。跳频扩展频谱降低了同频干扰，提升抗干扰能力。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数据率与符号率关系（BLE</w:t>
      </w:r>
      <w:r>
        <w:rPr>
          <w:rFonts w:eastAsia="黑体"/>
        </w:rPr>
        <w:t xml:space="preserve"> GFSK 1 </w:t>
      </w:r>
      <w:r>
        <w:rPr>
          <w:rFonts w:hint="eastAsia" w:eastAsia="黑体"/>
        </w:rPr>
        <w:t xml:space="preserve">bit/符号）：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s</m:t>
              </m:r>
              <m:r>
                <m:t>y</m:t>
              </m:r>
              <m:r>
                <m:t>m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接收灵敏度：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174</m:t>
          </m:r>
          <m:r>
            <m:rPr>
              <m:sty m:val="p"/>
            </m:rPr>
            <m:t>+</m:t>
          </m:r>
          <m:r>
            <m:t>10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r>
            <m:t>B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t>F</m:t>
          </m:r>
          <m:r>
            <m:rPr>
              <m:sty m:val="p"/>
            </m:rPr>
            <m:t>+</m:t>
          </m:r>
          <m:r>
            <m:t>S</m:t>
          </m:r>
          <m:r>
            <m:t>N</m:t>
          </m:r>
          <m:sSub>
            <m:e>
              <m:r>
                <m:t>R</m:t>
              </m:r>
            </m:e>
            <m:sub>
              <m:r>
                <m:t>m</m:t>
              </m:r>
              <m:r>
                <m:t>i</m:t>
              </m:r>
              <m:r>
                <m:t>n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自由空间路径损耗：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P</m:t>
          </m:r>
          <m:r>
            <m:t>L</m:t>
          </m:r>
          <m:r>
            <m:rPr>
              <m:sty m:val="p"/>
            </m:rPr>
            <m:t>=</m:t>
          </m:r>
          <m:r>
            <m:t>20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t>d</m:t>
          </m:r>
          <m:r>
            <m:rPr>
              <m:sty m:val="p"/>
            </m:rPr>
            <m:t>+</m:t>
          </m:r>
          <m:r>
            <m:t>20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t>f</m:t>
          </m:r>
          <m:r>
            <m:rPr>
              <m:sty m:val="p"/>
            </m:rPr>
            <m:t>+</m:t>
          </m:r>
          <m:r>
            <m:t>32.44</m:t>
          </m:r>
        </m:oMath>
      </m:oMathPara>
    </w:p>
    <w:p>
      <w:pPr>
        <w:numPr>
          <w:ilvl w:val="0"/>
          <w:numId w:val="1001"/>
        </w:numPr>
      </w:pPr>
      <w:r>
        <w:rPr>
          <w:rFonts w:eastAsia="黑体"/>
        </w:rPr>
        <w:t xml:space="preserve">OTA </w:t>
      </w:r>
      <w:r>
        <w:rPr>
          <w:rFonts w:hint="eastAsia" w:eastAsia="黑体"/>
        </w:rPr>
        <w:t xml:space="preserve">空中数据率（含协议开销</w:t>
      </w:r>
      <w:r>
        <w:rPr>
          <w:rFonts w:eastAsia="黑体"/>
        </w:rPr>
        <w:t xml:space="preserve"> </w:t>
      </w:r>
      <m:oMath>
        <m:r>
          <m:t>η</m:t>
        </m:r>
      </m:oMath>
      <w:r>
        <w:rPr>
          <w:rFonts w:hint="eastAsia" w:eastAsia="黑体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a</m:t>
              </m:r>
              <m:r>
                <m:t>p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×</m:t>
          </m:r>
          <m:r>
            <m:t>η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数据率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bit/s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接收灵敏度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dBm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  <m:r>
                <m:t>L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路径损耗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dB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η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协议效率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a</m:t>
                  </m:r>
                  <m:r>
                    <m:t>p</m:t>
                  </m:r>
                  <m:r>
                    <m:t>p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应用层数据率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bit/s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发射功率增大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通信距离增大，功耗与射频干扰增加。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连接间隔缩短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数据吞吐提升、延迟降低，但功耗上升。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晶振精度变差（&gt;±40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ppm）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连接保持困难，稳定性下降。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匹配网络失配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灵敏度下降、误包率上升，掉线概率增大。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广播间隔缩短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可连接性提升，但平均功耗增大。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r>
          <m:t>B</m:t>
        </m:r>
        <m:r>
          <m:t>W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MHz</m:t>
        </m:r>
      </m:oMath>
      <w:r>
        <w:rPr>
          <w:rFonts w:eastAsia="黑体"/>
        </w:rPr>
        <w:t xml:space="preserve">、</w:t>
      </w:r>
      <m:oMath>
        <m:r>
          <m:t>N</m:t>
        </m:r>
        <m:r>
          <m:t>F</m:t>
        </m:r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dB</m:t>
        </m:r>
      </m:oMath>
      <w:r>
        <w:rPr>
          <w:rFonts w:eastAsia="黑体"/>
        </w:rPr>
        <w:t xml:space="preserve">、</w:t>
      </w:r>
      <m:oMath>
        <m:r>
          <m:t>S</m:t>
        </m:r>
        <m:r>
          <m:t>N</m:t>
        </m:r>
        <m:sSub>
          <m:e>
            <m:r>
              <m:t>R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8</m:t>
        </m:r>
        <m:r>
          <m:t> </m:t>
        </m:r>
        <m:r>
          <m:rPr>
            <m:nor/>
            <m:sty m:val="p"/>
          </m:rPr>
          <m:t>dB</m:t>
        </m:r>
      </m:oMath>
      <w:r>
        <w:rPr>
          <w:rFonts w:hint="eastAsia" w:eastAsia="黑体"/>
        </w:rPr>
        <w:t xml:space="preserve">：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174</m:t>
        </m:r>
        <m:r>
          <m:rPr>
            <m:sty m:val="p"/>
          </m:rPr>
          <m:t>+</m:t>
        </m:r>
        <m:r>
          <m:t>10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rPr>
            <m:sty m:val="p"/>
          </m:rPr>
          <m:t>(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101</m:t>
        </m:r>
        <m:r>
          <m:t> </m:t>
        </m:r>
        <m:r>
          <m:rPr>
            <m:nor/>
            <m:sty m:val="p"/>
          </m:rPr>
          <m:t>dBm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Mbit/s</m:t>
        </m:r>
      </m:oMath>
      <w:r>
        <w:rPr>
          <w:rFonts w:eastAsia="黑体"/>
        </w:rPr>
        <w:t xml:space="preserve">、</w:t>
      </w:r>
      <m:oMath>
        <m:r>
          <m:t>η</m:t>
        </m:r>
        <m:r>
          <m:rPr>
            <m:sty m:val="p"/>
          </m:rPr>
          <m:t>=</m:t>
        </m:r>
        <m:r>
          <m:t>0.7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R</m:t>
            </m:r>
          </m:e>
          <m:sub>
            <m:r>
              <m:t>a</m:t>
            </m:r>
            <m:r>
              <m:t>p</m:t>
            </m:r>
            <m:r>
              <m:t>p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rPr>
            <m:sty m:val="p"/>
          </m:rPr>
          <m:t>×</m:t>
        </m:r>
        <m:r>
          <m:t>0.7</m:t>
        </m:r>
        <m:r>
          <m:rPr>
            <m:sty m:val="p"/>
          </m:rPr>
          <m:t>=</m:t>
        </m:r>
        <m:r>
          <m:t>700</m:t>
        </m:r>
        <m:r>
          <m:t> </m:t>
        </m:r>
        <m:r>
          <m:rPr>
            <m:nor/>
            <m:sty m:val="p"/>
          </m:rPr>
          <m:t>kbit/s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芯片/模组：nRF52832、nRF52840、CC2541、ESP32。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天线：2.4</w:t>
      </w:r>
      <w:r>
        <w:rPr>
          <w:rFonts w:eastAsia="黑体"/>
        </w:rPr>
        <w:t xml:space="preserve"> GHz PCB </w:t>
      </w:r>
      <w:r>
        <w:rPr>
          <w:rFonts w:hint="eastAsia" w:eastAsia="黑体"/>
        </w:rPr>
        <w:t xml:space="preserve">天线、片上天线、陶瓷天线。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2.4 GHz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WiFi </w:t>
      </w:r>
      <w:r>
        <w:rPr>
          <w:rFonts w:hint="eastAsia" w:eastAsia="黑体"/>
        </w:rPr>
        <w:t xml:space="preserve">共频，注意信道共存与射频准入控制。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天线净空区与地平面完整性对链路预算影响显著。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注意协议栈</w:t>
      </w:r>
      <w:r>
        <w:rPr>
          <w:rFonts w:eastAsia="黑体"/>
        </w:rPr>
        <w:t xml:space="preserve"> RAM/Flash </w:t>
      </w:r>
      <w:r>
        <w:rPr>
          <w:rFonts w:hint="eastAsia" w:eastAsia="黑体"/>
        </w:rPr>
        <w:t xml:space="preserve">占用，选型时确认内存资源。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低功耗应用需合理配置广播与连接参数以平衡功耗与响应。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Bluetooth Low Energy。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Nordic nRF52832 </w:t>
      </w:r>
      <w:r>
        <w:rPr>
          <w:rFonts w:hint="eastAsia" w:eastAsia="黑体"/>
        </w:rPr>
        <w:t xml:space="preserve">产品规格书。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Bluetooth Core Specification。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蓝牙收发电路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蓝牙收发电路</dc:title>
  <dc:creator>AI 智能体</dc:creator>
  <cp:keywords/>
  <dcterms:created xsi:type="dcterms:W3CDTF">2026-09-08T14:37:24Z</dcterms:created>
  <dcterms:modified xsi:type="dcterms:W3CDTF">2026-09-08T14:37:24Z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