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红外通信-irda-电路"/>
    <w:p>
      <w:pPr>
        <w:pStyle w:val="Heading1"/>
      </w:pPr>
      <w:r>
        <w:rPr>
          <w:rFonts w:hint="eastAsia" w:eastAsia="黑体"/>
        </w:rPr>
        <w:t xml:space="preserve">红外通信</w:t>
      </w:r>
      <w:r>
        <w:rPr>
          <w:rFonts w:eastAsia="黑体"/>
        </w:rPr>
        <w:t xml:space="preserve"> IrDA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红外发射管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LED（IRED）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与其驱动电路（限流电阻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</m:oMath>
      <w:r>
        <w:rPr>
          <w:rFonts w:hint="eastAsia" w:eastAsia="黑体"/>
        </w:rPr>
        <w:t xml:space="preserve">/驱动管）、</w:t>
      </w:r>
      <w:r>
        <w:rPr>
          <w:rFonts w:hint="eastAsia" w:eastAsia="黑体"/>
          <w:b/>
          <w:bCs/>
        </w:rPr>
        <w:t xml:space="preserve">红外接收模块</w:t>
      </w:r>
      <w:r>
        <w:rPr>
          <w:rFonts w:hint="eastAsia" w:eastAsia="黑体"/>
        </w:rPr>
        <w:t xml:space="preserve">（光电二极管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+ </w:t>
      </w:r>
      <w:r>
        <w:rPr>
          <w:rFonts w:hint="eastAsia" w:eastAsia="黑体"/>
        </w:rPr>
        <w:t xml:space="preserve">放大器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解调，或一体化接收头）与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串行编解码控制器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（UART/IrDA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控制器）组成。电路共有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发射数据输入</w:t>
      </w:r>
      <w:r>
        <w:rPr>
          <w:rFonts w:eastAsia="黑体"/>
          <w:b/>
          <w:bCs/>
        </w:rPr>
        <w:t xml:space="preserve"> TX DATA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驱动电流节点</w:t>
      </w:r>
      <w:r>
        <w:rPr>
          <w:rFonts w:hint="eastAsia" w:eastAsia="黑体"/>
        </w:rPr>
        <w:t xml:space="preserve">（驱动器输出经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到发射管）；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发射管阴极/地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接收光电流节点</w:t>
      </w:r>
      <w:r>
        <w:rPr>
          <w:rFonts w:hint="eastAsia" w:eastAsia="黑体"/>
        </w:rPr>
        <w:t xml:space="preserve">（光电二极管输出到放大级）；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解调输出</w:t>
      </w:r>
      <w:r>
        <w:rPr>
          <w:rFonts w:eastAsia="黑体"/>
          <w:b/>
          <w:bCs/>
        </w:rPr>
        <w:t xml:space="preserve"> RX DATA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的发射端（TXD/IrDA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调制输出）接节点①，驱动级输出经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LED（IRED）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阳极</w:t>
      </w:r>
      <w:r>
        <w:rPr>
          <w:rFonts w:hint="eastAsia" w:eastAsia="黑体"/>
        </w:rPr>
        <w:t xml:space="preserve">，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阴极接节点③（地或驱动开关管），正向电流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l</m:t>
                </m:r>
                <m:r>
                  <m:t>i</m:t>
                </m:r>
                <m:r>
                  <m:t>m</m:t>
                </m:r>
              </m:sub>
            </m:sSub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控制发光，数据调制为红外脉冲发射。</w:t>
      </w:r>
      <w:r>
        <w:rPr>
          <w:rFonts w:hint="eastAsia" w:eastAsia="黑体"/>
          <w:b/>
          <w:bCs/>
        </w:rPr>
        <w:t xml:space="preserve">接收模块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的光电二极管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反偏（阴极接电源、阳极接放大级），把光脉冲转为光电流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，经放大、AGC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与解调后输出数字信号（节点⑤）接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RXD，并带载波解调以抑制环境光干扰。电源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与地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GND（节点⑥/⑦）按各自去耦。</w:t>
      </w:r>
    </w:p>
    <w:p>
      <w:pPr/>
      <w:r>
        <w:rPr>
          <w:rFonts w:hint="eastAsia" w:eastAsia="黑体"/>
        </w:rPr>
        <w:t xml:space="preserve">由此构成”控制器把数据调制成红外脉冲、限流电阻驱动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发光、接收头光电转换并解调还原”的短距点对点无线通信接口，标准速率覆盖</w:t>
      </w:r>
      <w:r>
        <w:rPr>
          <w:rFonts w:eastAsia="黑体"/>
        </w:rPr>
        <w:t xml:space="preserve"> 2.4 kbps </w:t>
      </w:r>
      <w:r>
        <w:rPr>
          <w:rFonts w:hint="eastAsia" w:eastAsia="黑体"/>
        </w:rPr>
        <w:t xml:space="preserve">至</w:t>
      </w:r>
      <w:r>
        <w:rPr>
          <w:rFonts w:eastAsia="黑体"/>
        </w:rPr>
        <w:t xml:space="preserve"> 16 </w:t>
      </w:r>
      <w:r>
        <w:rPr>
          <w:rFonts w:hint="eastAsia" w:eastAsia="黑体"/>
        </w:rPr>
        <w:t xml:space="preserve">Mbps（VFIR），距离约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m，用于手机、遥控器、笔记本等短距无线通信。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数据经</w:t>
      </w:r>
      <w:r>
        <w:rPr>
          <w:rFonts w:eastAsia="黑体"/>
        </w:rPr>
        <w:t xml:space="preserve"> IrDA </w:t>
      </w:r>
      <w:r>
        <w:rPr>
          <w:rFonts w:hint="eastAsia" w:eastAsia="黑体"/>
        </w:rPr>
        <w:t xml:space="preserve">协议编码为</w:t>
      </w:r>
      <w:r>
        <w:rPr>
          <w:rFonts w:eastAsia="黑体"/>
        </w:rPr>
        <w:t xml:space="preserve"> NRZ </w:t>
      </w:r>
      <w:r>
        <w:rPr>
          <w:rFonts w:hint="eastAsia" w:eastAsia="黑体"/>
        </w:rPr>
        <w:t xml:space="preserve">脉冲，调制到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光脉冲发射；接收端光电二极管接收光脉冲，经放大、自动增益控制与解调恢复数字信号。标准速率覆盖</w:t>
      </w:r>
      <w:r>
        <w:rPr>
          <w:rFonts w:eastAsia="黑体"/>
        </w:rPr>
        <w:t xml:space="preserve"> 2.4 kbps </w:t>
      </w:r>
      <w:r>
        <w:rPr>
          <w:rFonts w:hint="eastAsia" w:eastAsia="黑体"/>
        </w:rPr>
        <w:t xml:space="preserve">至</w:t>
      </w:r>
      <w:r>
        <w:rPr>
          <w:rFonts w:eastAsia="黑体"/>
        </w:rPr>
        <w:t xml:space="preserve"> 16 </w:t>
      </w:r>
      <w:r>
        <w:rPr>
          <w:rFonts w:hint="eastAsia" w:eastAsia="黑体"/>
        </w:rPr>
        <w:t xml:space="preserve">Mbps（VFIR），传输距离约</w:t>
      </w:r>
      <w:r>
        <w:rPr>
          <w:rFonts w:eastAsia="黑体"/>
        </w:rPr>
        <w:t xml:space="preserve"> 1 m。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LED </w:t>
      </w:r>
      <w:r>
        <w:rPr>
          <w:rFonts w:hint="eastAsia" w:eastAsia="黑体"/>
        </w:rPr>
        <w:t xml:space="preserve">驱动偏置电流（发光条件）：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光脉冲功率与占空比（辐照度）：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接收光电流：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传输距离与视角（视距链路）：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∝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p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驱动电流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光电响应度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A/W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R_lim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驱动电流减小、发射功率下降，通信距离缩短。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驱动脉冲占空比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峰值电流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增加瞬时功率，需在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允许范围内。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发射管发散角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对齐容差增大但辐照度下降。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接收模块灵敏度</w:t>
      </w:r>
      <w:r>
        <w:rPr>
          <w:rFonts w:eastAsia="黑体"/>
          <w:b/>
          <w:bCs/>
        </w:rPr>
        <w:t xml:space="preserve"> / AGC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决定最小可探测功率与最大作用距离。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1.4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mA：</w:t>
      </w:r>
      <m:oMath>
        <m:sSub>
          <m:e>
            <m:r>
              <m:t>R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1.4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36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IrDA </w:t>
      </w:r>
      <w:r>
        <w:rPr>
          <w:rFonts w:hint="eastAsia" w:eastAsia="黑体"/>
        </w:rPr>
        <w:t xml:space="preserve">标准通信距离约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m，半角约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±15°，SIR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速率</w:t>
      </w:r>
      <w:r>
        <w:rPr>
          <w:rFonts w:eastAsia="黑体"/>
        </w:rPr>
        <w:t xml:space="preserve"> 115.2 kbps。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收发控制器：配套</w:t>
      </w:r>
      <w:r>
        <w:rPr>
          <w:rFonts w:eastAsia="黑体"/>
        </w:rPr>
        <w:t xml:space="preserve"> UART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MCU（带</w:t>
      </w:r>
      <w:r>
        <w:rPr>
          <w:rFonts w:eastAsia="黑体"/>
        </w:rPr>
        <w:t xml:space="preserve"> IrDA </w:t>
      </w:r>
      <w:r>
        <w:rPr>
          <w:rFonts w:hint="eastAsia" w:eastAsia="黑体"/>
        </w:rPr>
        <w:t xml:space="preserve">模式）。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一体化收发模块：TFDU4101、TFBS4711、HSDL-3600。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红外发射管：TSAL6100、SFH4511。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收发必须视距无遮挡，且发光与受光波长要匹配（850~900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nm）。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LED </w:t>
      </w:r>
      <w:r>
        <w:rPr>
          <w:rFonts w:hint="eastAsia" w:eastAsia="黑体"/>
        </w:rPr>
        <w:t xml:space="preserve">峰值电流不能超额定，占空比与脉冲宽度按协议限制。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受环境光（日光、荧光灯）干扰，接收头需带载波解调与屏蔽。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速率与距离成反比，高速模式（MIR/FIR）距离更短。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IrDA。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IrDA </w:t>
      </w:r>
      <w:r>
        <w:rPr>
          <w:rFonts w:hint="eastAsia" w:eastAsia="黑体"/>
        </w:rPr>
        <w:t xml:space="preserve">物理层规范（irda.org）。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Vishay TFDU4101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红外通信IrDA电路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红外通信IrDA电路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