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vs-管保护电路"/>
    <w:p>
      <w:pPr>
        <w:pStyle w:val="Heading1"/>
      </w:pPr>
      <w:r>
        <w:rPr>
          <w:rFonts w:eastAsia="黑体"/>
        </w:rPr>
        <w:t xml:space="preserve">TVS </w:t>
      </w:r>
      <w:r>
        <w:rPr>
          <w:rFonts w:hint="eastAsia" w:eastAsia="黑体"/>
        </w:rPr>
        <w:t xml:space="preserve">管保护电路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一颗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TVS（瞬态电压抑制二极管，单向或双向）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一颗限流电阻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hint="eastAsia" w:eastAsia="黑体"/>
        </w:rPr>
        <w:t xml:space="preserve">（可选，亦可用</w:t>
      </w:r>
      <w:r>
        <w:rPr>
          <w:rFonts w:eastAsia="黑体"/>
        </w:rPr>
        <w:t xml:space="preserve"> ESD </w:t>
      </w:r>
      <w:r>
        <w:rPr>
          <w:rFonts w:hint="eastAsia" w:eastAsia="黑体"/>
        </w:rPr>
        <w:t xml:space="preserve">保护阵列）组成。电路共有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被保护线路输入节点</w:t>
      </w:r>
      <w:r>
        <w:rPr>
          <w:rFonts w:hint="eastAsia" w:eastAsia="黑体"/>
        </w:rPr>
        <w:t xml:space="preserve">（接入被保护信号线或电源线，连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线路-钳位节点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一端相连，并接后级敏感器件，是钳位后的电气点）；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接地节点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（TVS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另一端接地）。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w:r>
        <w:rPr>
          <w:rFonts w:hint="eastAsia" w:eastAsia="黑体"/>
          <w:b/>
          <w:bCs/>
        </w:rPr>
        <w:t xml:space="preserve">单向</w:t>
      </w:r>
      <w:r>
        <w:rPr>
          <w:rFonts w:eastAsia="黑体"/>
          <w:b/>
          <w:bCs/>
        </w:rPr>
        <w:t xml:space="preserve"> TVS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的阴极接节点②、阳极接节点③；</w:t>
      </w:r>
      <w:r>
        <w:rPr>
          <w:rFonts w:hint="eastAsia" w:eastAsia="黑体"/>
          <w:b/>
          <w:bCs/>
        </w:rPr>
        <w:t xml:space="preserve">双向</w:t>
      </w:r>
      <w:r>
        <w:rPr>
          <w:rFonts w:eastAsia="黑体"/>
          <w:b/>
          <w:bCs/>
        </w:rPr>
        <w:t xml:space="preserve"> TVS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两端不分极性，一端接节点②、另一端接节点③；若用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ESD </w:t>
      </w:r>
      <w:r>
        <w:rPr>
          <w:rFonts w:hint="eastAsia" w:eastAsia="黑体"/>
          <w:b/>
          <w:bCs/>
        </w:rPr>
        <w:t xml:space="preserve">保护阵列</w:t>
      </w:r>
      <w:r>
        <w:rPr>
          <w:rFonts w:hint="eastAsia" w:eastAsia="黑体"/>
        </w:rPr>
        <w:t xml:space="preserve">，其信号端接节点①（或节点②）、公共端接节点③。</w:t>
      </w:r>
    </w:p>
    <w:p>
      <w:pPr/>
      <w:r>
        <w:rPr>
          <w:rFonts w:hint="eastAsia" w:eastAsia="黑体"/>
        </w:rPr>
        <w:t xml:space="preserve">由此构成”被保护线路经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到钳位节点、TVS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在钳位节点与地之间并联”的瞬态过压（ESD、浪涌、负载突波）保护组态，正常时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高阻几乎不导通；一旦端电压超过击穿电压，TVS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雪崩导通把过压瞬态钳位到安全电压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，保护后级敏感器件。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正常工作时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呈现高阻几乎不导通（漏电流极小）；当电压超过其击穿/钳位电压，TVS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迅速导通，将多余能量泄放到地，把端电压钳在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（钳位电压）上。响应时间极快（皮秒~纳秒级），适合亚纳秒级</w:t>
      </w:r>
      <w:r>
        <w:rPr>
          <w:rFonts w:eastAsia="黑体"/>
        </w:rPr>
        <w:t xml:space="preserve"> ESD </w:t>
      </w:r>
      <w:r>
        <w:rPr>
          <w:rFonts w:hint="eastAsia" w:eastAsia="黑体"/>
        </w:rPr>
        <w:t xml:space="preserve">与快速浪涌。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钳位电压（击穿后）：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y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峰值脉冲功率：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P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限流电阻分压：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P</m:t>
              </m:r>
            </m:sub>
          </m:sSub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工作电压与反向击穿电压关系（选型）：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  <m:r>
                <m:t>W</m:t>
              </m:r>
              <m:r>
                <m:t>M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R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且 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W</m:t>
              </m:r>
              <m:r>
                <m:t>M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V</m:t>
              </m:r>
            </m:e>
            <m:sub>
              <m:r>
                <m:t>w</m:t>
              </m:r>
              <m:r>
                <m:t>o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钳位电压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反向击穿电压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峰值脉冲电流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y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动态电阻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W</m:t>
                  </m:r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额定反向工作电压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P</m:t>
                  </m:r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峰值脉冲功率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击穿电压</w:t>
      </w:r>
      <w:r>
        <w:rPr>
          <w:rFonts w:eastAsia="黑体"/>
          <w:b/>
          <w:bCs/>
        </w:rPr>
        <w:t xml:space="preserve"> V_BR </w:t>
      </w:r>
      <w:r>
        <w:rPr>
          <w:rFonts w:hint="eastAsia" w:eastAsia="黑体"/>
          <w:b/>
          <w:bCs/>
        </w:rPr>
        <w:t xml:space="preserve">↓（更接近工作电压）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钳位更低、保护更好，但漏电流增大、可能误导通。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动态电阻</w:t>
      </w:r>
      <w:r>
        <w:rPr>
          <w:rFonts w:eastAsia="黑体"/>
          <w:b/>
          <w:bCs/>
        </w:rPr>
        <w:t xml:space="preserve"> R_dyn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同样的浪涌电流下钳位电压升高，保护变差。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峰值功率/结面积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能承受的能量更大，但寄生电容增大、影响高速信号。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前级限流电阻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通过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的浪涌电流减小，保护更可靠但增加正常压降。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5 V </w:t>
      </w:r>
      <w:r>
        <w:rPr>
          <w:rFonts w:hint="eastAsia" w:eastAsia="黑体"/>
        </w:rPr>
        <w:t xml:space="preserve">电源线保护：选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W</m:t>
            </m:r>
            <m:r>
              <m:t>M</m:t>
            </m:r>
          </m:sub>
        </m:sSub>
        <m:r>
          <m:rPr>
            <m:sty m:val="p"/>
          </m:rPr>
          <m:t>=</m:t>
        </m:r>
        <m:r>
          <m:t>5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V、</w:t>
      </w:r>
      <m:oMath>
        <m:sSub>
          <m:e>
            <m:r>
              <m:t>V</m:t>
            </m:r>
          </m:e>
          <m:sub>
            <m:r>
              <m:t>B</m:t>
            </m:r>
            <m:r>
              <m:t>R</m:t>
            </m:r>
          </m:sub>
        </m:sSub>
        <m:r>
          <m:rPr>
            <m:sty m:val="p"/>
          </m:rPr>
          <m:t>≈</m:t>
        </m:r>
        <m:r>
          <m:t>6.4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V、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t>9.2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V（</w:t>
      </w:r>
      <m:oMath>
        <m:sSub>
          <m:e>
            <m:r>
              <m:t>I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A）的</w:t>
      </w:r>
      <w:r>
        <w:rPr>
          <w:rFonts w:eastAsia="黑体"/>
        </w:rPr>
        <w:t xml:space="preserve"> TVS。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9.2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V、</w:t>
      </w:r>
      <m:oMath>
        <m:sSub>
          <m:e>
            <m:r>
              <m:t>I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A：</w:t>
      </w:r>
      <m:oMath>
        <m:sSub>
          <m:e>
            <m:r>
              <m:t>P</m:t>
            </m:r>
          </m:e>
          <m:sub>
            <m:r>
              <m:t>P</m:t>
            </m:r>
            <m:r>
              <m:t>P</m:t>
            </m:r>
          </m:sub>
        </m:sSub>
        <m:r>
          <m:rPr>
            <m:sty m:val="p"/>
          </m:rPr>
          <m:t>=</m:t>
        </m:r>
        <m:r>
          <m:t>9.2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≈</m:t>
        </m:r>
        <m:r>
          <m:t>92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W（满足脉冲额定即可，非持续功率）。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单向/双向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TVS：SMBJ5.0A、SMAJ、P6KE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ESD </w:t>
      </w:r>
      <w:r>
        <w:rPr>
          <w:rFonts w:hint="eastAsia" w:eastAsia="黑体"/>
        </w:rPr>
        <w:t xml:space="preserve">阵列：PSM712、USBLC6-2、TPD4E05U06。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大功率浪涌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TVS：5KP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系列、1.5KE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工作电压须低于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额定反向工作电压，避免正常工作就导通。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高速信号线选低结电容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TVS，以免破坏信号完整性。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TVS </w:t>
      </w:r>
      <w:r>
        <w:rPr>
          <w:rFonts w:hint="eastAsia" w:eastAsia="黑体"/>
        </w:rPr>
        <w:t xml:space="preserve">用于浪涌需核对峰值脉冲功率（8/20</w:t>
      </w:r>
      <w:r>
        <w:rPr>
          <w:rFonts w:eastAsia="黑体"/>
        </w:rPr>
        <w:t xml:space="preserve"> µs </w:t>
      </w:r>
      <w:r>
        <w:rPr>
          <w:rFonts w:hint="eastAsia" w:eastAsia="黑体"/>
        </w:rPr>
        <w:t xml:space="preserve">波形额定）。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TVS </w:t>
      </w:r>
      <w:r>
        <w:rPr>
          <w:rFonts w:hint="eastAsia" w:eastAsia="黑体"/>
        </w:rPr>
        <w:t xml:space="preserve">位置尽量靠近被保护器件与地平面，减小引线电感。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Transient-voltage-suppression diode。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Littelfuse / Vishay TVS </w:t>
      </w:r>
      <w:r>
        <w:rPr>
          <w:rFonts w:hint="eastAsia" w:eastAsia="黑体"/>
        </w:rPr>
        <w:t xml:space="preserve">选型应用说明。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《电子设备的浪涌保护技术》。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TVS管保护电路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TVS管保护电路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