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浪涌保护器-spd-电路"/>
    <w:p>
      <w:pPr>
        <w:pStyle w:val="Heading1"/>
      </w:pPr>
      <w:r>
        <w:rPr>
          <w:rFonts w:hint="eastAsia" w:eastAsia="黑体"/>
        </w:rPr>
        <w:t xml:space="preserve">浪涌保护器</w:t>
      </w:r>
      <w:r>
        <w:rPr>
          <w:rFonts w:eastAsia="黑体"/>
        </w:rPr>
        <w:t xml:space="preserve"> SPD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气体放电管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GDT、金属氧化物压敏电阻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MOV、瞬态抑制二极管</w:t>
      </w:r>
      <w:r>
        <w:rPr>
          <w:rFonts w:eastAsia="黑体"/>
          <w:b/>
          <w:bCs/>
        </w:rPr>
        <w:t xml:space="preserve"> 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退耦元件（电感或电阻）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组合成多级防护网络。电路共有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输入线路节点</w:t>
      </w:r>
      <w:r>
        <w:rPr>
          <w:rFonts w:hint="eastAsia" w:eastAsia="黑体"/>
        </w:rPr>
        <w:t xml:space="preserve">（接电源线/信号线，连第一级</w:t>
      </w:r>
      <w:r>
        <w:rPr>
          <w:rFonts w:eastAsia="黑体"/>
        </w:rPr>
        <w:t xml:space="preserve"> GDT/MOV </w:t>
      </w:r>
      <w:r>
        <w:rPr>
          <w:rFonts w:hint="eastAsia" w:eastAsia="黑体"/>
        </w:rPr>
        <w:t xml:space="preserve">一端与退耦元件一端）；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退耦后节点</w:t>
      </w:r>
      <w:r>
        <w:rPr>
          <w:rFonts w:hint="eastAsia" w:eastAsia="黑体"/>
        </w:rPr>
        <w:t xml:space="preserve">（退耦元件另一端接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一端与下游设备）；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（各级保护器件另一端接地）。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第一级</w:t>
      </w:r>
      <w:r>
        <w:rPr>
          <w:rFonts w:eastAsia="黑体"/>
          <w:b/>
          <w:bCs/>
        </w:rPr>
        <w:t xml:space="preserve"> GDT/MOV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一端接节点①、另一端接节点③；</w:t>
      </w:r>
      <w:r>
        <w:rPr>
          <w:rFonts w:hint="eastAsia" w:eastAsia="黑体"/>
          <w:b/>
          <w:bCs/>
        </w:rPr>
        <w:t xml:space="preserve">退耦电感/电阻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w:r>
        <w:rPr>
          <w:rFonts w:hint="eastAsia" w:eastAsia="黑体"/>
          <w:b/>
          <w:bCs/>
        </w:rPr>
        <w:t xml:space="preserve">末级</w:t>
      </w:r>
      <w:r>
        <w:rPr>
          <w:rFonts w:eastAsia="黑体"/>
          <w:b/>
          <w:bCs/>
        </w:rPr>
        <w:t xml:space="preserve"> 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一端接节点②、另一端接节点③。</w:t>
      </w:r>
    </w:p>
    <w:p>
      <w:pPr/>
      <w:r>
        <w:rPr>
          <w:rFonts w:hint="eastAsia" w:eastAsia="黑体"/>
        </w:rPr>
        <w:t xml:space="preserve">由此构成”输入先并第一级</w:t>
      </w:r>
      <w:r>
        <w:rPr>
          <w:rFonts w:eastAsia="黑体"/>
        </w:rPr>
        <w:t xml:space="preserve"> GDT/MOV </w:t>
      </w:r>
      <w:r>
        <w:rPr>
          <w:rFonts w:hint="eastAsia" w:eastAsia="黑体"/>
        </w:rPr>
        <w:t xml:space="preserve">泄放大电流、经退耦后由末级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精细钳位”的多级分级泄放</w:t>
      </w:r>
      <w:r>
        <w:rPr>
          <w:rFonts w:eastAsia="黑体"/>
        </w:rPr>
        <w:t xml:space="preserve"> SPD </w:t>
      </w:r>
      <w:r>
        <w:rPr>
          <w:rFonts w:hint="eastAsia" w:eastAsia="黑体"/>
        </w:rPr>
        <w:t xml:space="preserve">浪涌保护组态，逐级把雷击浪涌（1.2/50</w:t>
      </w:r>
      <w:r>
        <w:rPr>
          <w:rFonts w:eastAsia="黑体"/>
        </w:rPr>
        <w:t xml:space="preserve"> μs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8/20 μs </w:t>
      </w:r>
      <w:r>
        <w:rPr>
          <w:rFonts w:hint="eastAsia" w:eastAsia="黑体"/>
        </w:rPr>
        <w:t xml:space="preserve">波形）能量导入地，把残压降到下游设备耐压以内。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浪涌到来时，电压超过压敏电阻或气体放电管动作电压，器件迅速变为低阻，把大电流分流到地；若为多级结构，第一级泄放大部分能量，后级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把残压进一步钳制到低电平，保护下游设备。能量泄放后器件恢复高阻。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压敏电阻钳位电压近似：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s</m:t>
                          </m:r>
                          <m:r>
                            <m:t>u</m:t>
                          </m:r>
                          <m:r>
                            <m:t>r</m:t>
                          </m:r>
                          <m:r>
                            <m:t>g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压敏电阻耗散能量：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退耦电感压降：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冲击电流峰值与波形（8/20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μs）定义，电荷量：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2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近似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钳位电压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浪涌电流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α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压敏电阻非线性系数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退耦电感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峰值冲击电流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波形持续时间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压敏电阻标称电压选低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钳位低、防护强，但正常电压下漏电流增大、可能劣化。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两级间退耦电感增大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波峰隔离更好、后级残压低，但体积大、引入线路压降。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气体放电管动作电压高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不易误触发，但残压起点高，需与后级配合。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器件通流容量（</w:t>
      </w:r>
      <m:oMath>
        <m:sSub>
          <m:e>
            <m:r>
              <m:t>I</m:t>
            </m:r>
          </m:e>
          <m:sub>
            <m:r>
              <m:t>p</m:t>
            </m:r>
            <m:r>
              <m:t>p</m:t>
            </m:r>
          </m:sub>
        </m:sSub>
      </m:oMath>
      <w:r>
        <w:rPr>
          <w:rFonts w:hint="eastAsia" w:eastAsia="黑体"/>
          <w:b/>
          <w:bCs/>
        </w:rPr>
        <w:t xml:space="preserve">）增大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能承受更强浪涌，但体积与漏流增加。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多点接地阻抗高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泄放路径不通畅，残压升高，保护效果下降。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275 V </w:t>
      </w:r>
      <w:r>
        <w:rPr>
          <w:rFonts w:hint="eastAsia" w:eastAsia="黑体"/>
        </w:rPr>
        <w:t xml:space="preserve">压敏电阻（标称</w:t>
      </w:r>
      <w:r>
        <w:rPr>
          <w:rFonts w:eastAsia="黑体"/>
        </w:rPr>
        <w:t xml:space="preserve"> 275 V </w:t>
      </w:r>
      <w:r>
        <w:rPr>
          <w:rFonts w:hint="eastAsia" w:eastAsia="黑体"/>
        </w:rPr>
        <w:t xml:space="preserve">AC），浪涌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u</m:t>
            </m:r>
            <m:r>
              <m:t>r</m:t>
            </m:r>
            <m:r>
              <m:t>g</m:t>
            </m:r>
            <m:r>
              <m:t>e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kA</m:t>
        </m:r>
      </m:oMath>
      <w:r>
        <w:rPr>
          <w:rFonts w:hint="eastAsia" w:eastAsia="黑体"/>
        </w:rPr>
        <w:t xml:space="preserve">（8/20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μs），典型钳位约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≈</m:t>
        </m:r>
        <m:r>
          <m:t>710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（按器件</w:t>
      </w:r>
      <w:r>
        <w:rPr>
          <w:rFonts w:eastAsia="黑体"/>
        </w:rPr>
        <w:t xml:space="preserve"> datasheet </w:t>
      </w:r>
      <w:r>
        <w:rPr>
          <w:rFonts w:hint="eastAsia" w:eastAsia="黑体"/>
        </w:rPr>
        <w:t xml:space="preserve">曲线取值）。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取退耦电感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 w:eastAsia="黑体"/>
        </w:rPr>
        <w:t xml:space="preserve">，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kA</m:t>
        </m:r>
        <m:r>
          <m:rPr>
            <m:sty m:val="p"/>
          </m:rPr>
          <m:t>/</m:t>
        </m:r>
        <m:r>
          <m:t>8</m:t>
        </m:r>
        <m:r>
          <m:t> </m:t>
        </m:r>
        <m:r>
          <m:t>μ</m:t>
        </m:r>
        <m:r>
          <m:rPr>
            <m:nor/>
            <m:sty m:val="p"/>
          </m:rPr>
          <m:t>s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 </m:t>
        </m:r>
        <m:r>
          <m:rPr>
            <m:nor/>
            <m:sty m:val="p"/>
          </m:rPr>
          <m:t>A/s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3.75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3750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（浪涌上升沿期间的瞬态压降）。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压敏电阻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MOV：TDK/EPCOS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系列、Littelfuse</w:t>
      </w:r>
      <w:r>
        <w:rPr>
          <w:rFonts w:eastAsia="黑体"/>
        </w:rPr>
        <w:t xml:space="preserve"> V </w:t>
      </w:r>
      <w:r>
        <w:rPr>
          <w:rFonts w:hint="eastAsia" w:eastAsia="黑体"/>
        </w:rPr>
        <w:t xml:space="preserve">系列（如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V275LA20A）、Bourns</w:t>
      </w:r>
      <w:r>
        <w:rPr>
          <w:rFonts w:eastAsia="黑体"/>
        </w:rPr>
        <w:t xml:space="preserve"> MOV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气体放电管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GDT：Bourns</w:t>
      </w:r>
      <w:r>
        <w:rPr>
          <w:rFonts w:eastAsia="黑体"/>
        </w:rPr>
        <w:t xml:space="preserve"> 2036 </w:t>
      </w:r>
      <w:r>
        <w:rPr>
          <w:rFonts w:hint="eastAsia" w:eastAsia="黑体"/>
        </w:rPr>
        <w:t xml:space="preserve">系列、Littelfuse</w:t>
      </w:r>
      <w:r>
        <w:rPr>
          <w:rFonts w:eastAsia="黑体"/>
        </w:rPr>
        <w:t xml:space="preserve"> GDT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TVS：SMBJ、SMCJ、5KP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系列（Littelfuse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ST）。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组合式</w:t>
      </w:r>
      <w:r>
        <w:rPr>
          <w:rFonts w:eastAsia="黑体"/>
        </w:rPr>
        <w:t xml:space="preserve"> SPD </w:t>
      </w:r>
      <w:r>
        <w:rPr>
          <w:rFonts w:hint="eastAsia" w:eastAsia="黑体"/>
        </w:rPr>
        <w:t xml:space="preserve">模块：Phoenix</w:t>
      </w:r>
      <w:r>
        <w:rPr>
          <w:rFonts w:eastAsia="黑体"/>
        </w:rPr>
        <w:t xml:space="preserve"> Contact、Dehn </w:t>
      </w:r>
      <w:r>
        <w:rPr>
          <w:rFonts w:hint="eastAsia" w:eastAsia="黑体"/>
        </w:rPr>
        <w:t xml:space="preserve">型号（按需选型）。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前端需加熔断器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断路器，防止</w:t>
      </w:r>
      <w:r>
        <w:rPr>
          <w:rFonts w:eastAsia="黑体"/>
        </w:rPr>
        <w:t xml:space="preserve"> SPD </w:t>
      </w:r>
      <w:r>
        <w:rPr>
          <w:rFonts w:hint="eastAsia" w:eastAsia="黑体"/>
        </w:rPr>
        <w:t xml:space="preserve">短路失效后引起持续短路事故。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多级</w:t>
      </w:r>
      <w:r>
        <w:rPr>
          <w:rFonts w:eastAsia="黑体"/>
        </w:rPr>
        <w:t xml:space="preserve"> SPD </w:t>
      </w:r>
      <w:r>
        <w:rPr>
          <w:rFonts w:hint="eastAsia" w:eastAsia="黑体"/>
        </w:rPr>
        <w:t xml:space="preserve">之间退耦电感（或导线长度）不可省，否则后级不能有效钳位。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接地连接要短、粗、低阻，浪涌泄放路径的可靠性决定保护效果。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压敏电阻老化后漏流增大、性能下降，需定期检测或选择带指示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可更换设计。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Surge protector。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Littelfuse </w:t>
      </w:r>
      <w:r>
        <w:rPr>
          <w:rFonts w:hint="eastAsia" w:eastAsia="黑体"/>
        </w:rPr>
        <w:t xml:space="preserve">官网：MOV</w:t>
      </w:r>
      <w:r>
        <w:rPr>
          <w:rFonts w:eastAsia="黑体"/>
        </w:rPr>
        <w:t xml:space="preserve"> / SPD </w:t>
      </w:r>
      <w:r>
        <w:rPr>
          <w:rFonts w:hint="eastAsia" w:eastAsia="黑体"/>
        </w:rPr>
        <w:t xml:space="preserve">选型与应用。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IEC 61643-11 </w:t>
      </w:r>
      <w:r>
        <w:rPr>
          <w:rFonts w:hint="eastAsia" w:eastAsia="黑体"/>
        </w:rPr>
        <w:t xml:space="preserve">低压浪涌保护器件标准。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TDK/EPCOS </w:t>
      </w:r>
      <w:r>
        <w:rPr>
          <w:rFonts w:hint="eastAsia" w:eastAsia="黑体"/>
        </w:rPr>
        <w:t xml:space="preserve">官网：压敏电阻技术资料。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浪涌保护器SPD电路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浪涌保护器SPD电路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