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多电平逆变电路"/>
    <w:p>
      <w:pPr>
        <w:pStyle w:val="Heading1"/>
      </w:pPr>
      <w:r>
        <w:rPr>
          <w:rFonts w:hint="eastAsia" w:eastAsia="黑体"/>
        </w:rPr>
        <w:t xml:space="preserve">多电平逆变电路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直流母线（可分裂为多级）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每相多组串联的功率开关管（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~</w:t>
      </w: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rPr>
          <w:rFonts w:hint="eastAsia" w:eastAsia="黑体"/>
          <w:b/>
          <w:bCs/>
        </w:rPr>
        <w:t xml:space="preserve">，各反并联续流二极管）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钳位二极管</w:t>
      </w:r>
      <w:r>
        <w:rPr>
          <w:rFonts w:eastAsia="黑体"/>
          <w:b/>
          <w:bCs/>
        </w:rPr>
        <w:t xml:space="preserve"> / </w:t>
      </w:r>
      <w:r>
        <w:rPr>
          <w:rFonts w:hint="eastAsia" w:eastAsia="黑体"/>
          <w:b/>
          <w:bCs/>
        </w:rPr>
        <w:t xml:space="preserve">飞跨电容</w:t>
      </w:r>
      <w:r>
        <w:rPr>
          <w:rFonts w:eastAsia="黑体"/>
          <w:b/>
          <w:bCs/>
        </w:rPr>
        <w:t xml:space="preserve"> / </w:t>
      </w:r>
      <w:r>
        <w:rPr>
          <w:rFonts w:hint="eastAsia" w:eastAsia="黑体"/>
          <w:b/>
          <w:bCs/>
        </w:rPr>
        <w:t xml:space="preserve">独立直流源（取决于具体拓扑）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驱动与控制器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组成。电路关键节点（以一相为例）：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直流母线正</w:t>
      </w:r>
      <w:r>
        <w:rPr>
          <w:rFonts w:eastAsia="黑体"/>
          <w:b/>
          <w:bCs/>
        </w:rPr>
        <w:t xml:space="preserve"> </w:t>
      </w:r>
      <m:oMath>
        <m:r>
          <m:t>P</m:t>
        </m:r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直流母线负</w:t>
      </w:r>
      <w:r>
        <w:rPr>
          <w:rFonts w:eastAsia="黑体"/>
          <w:b/>
          <w:bCs/>
        </w:rPr>
        <w:t xml:space="preserve"> </w:t>
      </w:r>
      <m:oMath>
        <m:r>
          <m:t>N</m:t>
        </m:r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m:oMath>
        <m:r>
          <m:t>k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级中间电平节点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O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（由钳位/飞跨电容/独立源分出，用于输出电平切换）；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相输出节点</w:t>
      </w:r>
      <w:r>
        <w:rPr>
          <w:rFonts w:eastAsia="黑体"/>
          <w:b/>
          <w:bCs/>
        </w:rPr>
        <w:t xml:space="preserve"> </w:t>
      </w:r>
      <m:oMath>
        <m:r>
          <m:t>M</m:t>
        </m:r>
      </m:oMath>
      <w:r>
        <w:rPr>
          <w:rFonts w:hint="eastAsia" w:eastAsia="黑体"/>
        </w:rPr>
        <w:t xml:space="preserve">（各串联开关的中间抽头和各级电平节点的公共接入点）。</w:t>
      </w:r>
    </w:p>
    <w:p>
      <w:pPr/>
      <w:r>
        <w:rPr>
          <w:rFonts w:hint="eastAsia" w:eastAsia="黑体"/>
        </w:rPr>
        <w:t xml:space="preserve">各元件管脚连接：以每相</w:t>
      </w:r>
      <w:r>
        <w:rPr>
          <w:rFonts w:eastAsia="黑体"/>
        </w:rPr>
        <w:t xml:space="preserve"> </w:t>
      </w:r>
      <m:oMath>
        <m:r>
          <m:t>k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个串联开关为例，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t>P</m:t>
        </m:r>
      </m:oMath>
      <w:r>
        <w:rPr>
          <w:rFonts w:eastAsia="黑体"/>
        </w:rPr>
        <w:t xml:space="preserve">、E </w:t>
      </w:r>
      <w:r>
        <w:rPr>
          <w:rFonts w:hint="eastAsia" w:eastAsia="黑体"/>
        </w:rPr>
        <w:t xml:space="preserve">接下级内节点、G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接驱动；</w:t>
      </w:r>
      <m:oMath>
        <m:sSub>
          <m:e>
            <m:r>
              <m:t>S</m:t>
            </m:r>
          </m:e>
          <m:sub>
            <m:r>
              <m:t>j</m:t>
            </m:r>
          </m:sub>
        </m:sSub>
      </m:oMath>
      <w:r>
        <w:rPr>
          <w:rFonts w:hint="eastAsia" w:eastAsia="黑体"/>
        </w:rPr>
        <w:t xml:space="preserve">（</w:t>
      </w:r>
      <m:oMath>
        <m:r>
          <m:t>j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eastAsia="黑体"/>
        </w:rPr>
        <w:t xml:space="preserve">）的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接上级内节点、E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接下级内节点、G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接驱动；</w:t>
      </w: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接上一内节点、E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</w:rPr>
        <w:t xml:space="preserve">、G </w:t>
      </w:r>
      <w:r>
        <w:rPr>
          <w:rFonts w:hint="eastAsia" w:eastAsia="黑体"/>
        </w:rPr>
        <w:t xml:space="preserve">接驱动；各管反并联二极管阳极接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E、阴极接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C。钳位/飞跨电容/独立源跨接在相应中间电平节点与内节点之间，输出</w:t>
      </w:r>
      <w:r>
        <w:rPr>
          <w:rFonts w:eastAsia="黑体"/>
        </w:rPr>
        <w:t xml:space="preserve"> </w:t>
      </w:r>
      <m:oMath>
        <m:r>
          <m:t>M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从中间抽头引出。由于具体拓扑（NPC、飞跨电容、级联</w:t>
      </w:r>
      <w:r>
        <w:rPr>
          <w:rFonts w:eastAsia="黑体"/>
        </w:rPr>
        <w:t xml:space="preserve"> H </w:t>
      </w:r>
      <w:r>
        <w:rPr>
          <w:rFonts w:hint="eastAsia" w:eastAsia="黑体"/>
        </w:rPr>
        <w:t xml:space="preserve">桥）的钳位元件连接方式不同，按所选拓扑对应连接。</w:t>
      </w:r>
    </w:p>
    <w:p>
      <w:pPr/>
      <w:r>
        <w:rPr>
          <w:rFonts w:hint="eastAsia" w:eastAsia="黑体"/>
        </w:rPr>
        <w:t xml:space="preserve">由此构成”多级串联开关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钳位/飞跨电容/独立源分压”的多电平逆变组态，通过开关组合使输出在三个及以上电平（如</w:t>
      </w:r>
      <w:r>
        <w:rPr>
          <w:rFonts w:eastAsia="黑体"/>
        </w:rPr>
        <w:t xml:space="preserve"> </w:t>
      </w:r>
      <m:oMath>
        <m:r>
          <m:t>0</m:t>
        </m:r>
      </m:oMath>
      <w:r>
        <w:rPr>
          <w:rFonts w:eastAsia="黑体"/>
        </w:rPr>
        <w:t xml:space="preserve">、</w:t>
      </w:r>
      <m:oMath>
        <m:r>
          <m:rPr>
            <m:sty m:val="p"/>
          </m:rPr>
          <m:t>±</m:t>
        </m:r>
        <m:r>
          <m:t>V</m:t>
        </m:r>
      </m:oMath>
      <w:r>
        <w:rPr>
          <w:rFonts w:eastAsia="黑体"/>
        </w:rPr>
        <w:t xml:space="preserve">、</w:t>
      </w:r>
      <m:oMath>
        <m:r>
          <m:rPr>
            <m:sty m:val="p"/>
          </m:rPr>
          <m:t>±</m:t>
        </m:r>
        <m:r>
          <m:t>2</m:t>
        </m:r>
        <m:r>
          <m:t>V</m:t>
        </m:r>
      </m:oMath>
      <w:r>
        <w:rPr>
          <w:rFonts w:hint="eastAsia" w:eastAsia="黑体"/>
        </w:rPr>
        <w:t xml:space="preserve">）间切换，产生阶梯状多电平交流电压，单管电压应力分摊为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/</m:t>
        </m:r>
        <m:r>
          <m:t>k</m:t>
        </m:r>
      </m:oMath>
      <w:r>
        <w:rPr>
          <w:rFonts w:hint="eastAsia" w:eastAsia="黑体"/>
        </w:rPr>
        <w:t xml:space="preserve">、谐波随电平数增加而下降。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多个电平叠加使输出电压波形逐级逼近正弦波，开关管承受的电压应力被分摊到各级。电平数越多，输出谐波含量越低、滤波更易，但器件数量与控制复杂度也上升。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输出电平数（若每相串联单元数为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k）：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每个功率开关承受电压（k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级均分）：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num>
            <m:den>
              <m:r>
                <m:t>k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输出相电压级差：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num>
            <m:den>
              <m:r>
                <m:t>k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输出相电压有效值（阶梯波，近似随电平增加趋近正弦）：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m</m:t>
              </m:r>
              <m:r>
                <m:t>s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⋅</m:t>
          </m:r>
          <m:r>
            <m:t>m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总谐波畸变（随电平数增大而下降）：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T</m:t>
          </m:r>
          <m:r>
            <m:t>H</m:t>
          </m:r>
          <m:r>
            <m:t>D</m:t>
          </m:r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输出电平数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每相串联开关单元数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直流母线电压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单管承受电压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V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相邻电平电压差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调制度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  <m:r>
                <m:t>H</m:t>
              </m:r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总谐波畸变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%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每相串联单元数</w:t>
      </w:r>
      <w:r>
        <w:rPr>
          <w:rFonts w:eastAsia="黑体"/>
          <w:b/>
          <w:bCs/>
        </w:rPr>
        <w:t xml:space="preserve"> k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电平数</w:t>
      </w:r>
      <w:r>
        <w:rPr>
          <w:rFonts w:eastAsia="黑体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增多，输出电压更接近正弦、THD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下降，但器件数量与控制复杂度上升。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每只管电压应力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/</m:t>
        </m:r>
        <m:r>
          <m:t>k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→ k </w:t>
      </w:r>
      <w:r>
        <w:rPr>
          <w:rFonts w:hint="eastAsia" w:eastAsia="黑体"/>
        </w:rPr>
        <w:t xml:space="preserve">增大时分摊到每管的电压减小，可用更低耐压器件。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直流母线电压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输出幅值提高，但级差</w:t>
      </w:r>
      <w:r>
        <w:rPr>
          <w:rFonts w:eastAsia="黑体"/>
        </w:rP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/</m:t>
        </m:r>
        <m:r>
          <m:t>k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与管压应力同步增大。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调制度</w:t>
      </w:r>
      <w:r>
        <w:rPr>
          <w:rFonts w:eastAsia="黑体"/>
          <w:b/>
          <w:bCs/>
        </w:rPr>
        <w:t xml:space="preserve"> </w:t>
      </w:r>
      <m:oMath>
        <m:r>
          <m:t>m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输出有效值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线性增大。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电平数越多，</w:t>
      </w:r>
      <m:oMath>
        <m:r>
          <m:t>T</m:t>
        </m:r>
        <m:r>
          <m:t>H</m:t>
        </m:r>
        <m:r>
          <m:t>D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越小，但最高电平切换与器件不均衡损耗需相应处理。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黑体"/>
        </w:rPr>
        <w:t xml:space="preserve">：电平数</w:t>
      </w:r>
      <w:r>
        <w:rPr>
          <w:rFonts w:eastAsia="黑体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rPr>
          <w:rFonts w:hint="eastAsia" w:eastAsia="黑体"/>
        </w:rPr>
        <w:t xml:space="preserve">（五电平，如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±2V、±V、0）。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800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黑体"/>
        </w:rPr>
        <w:t xml:space="preserve">：每管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r>
          <m:t>800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，级差</w:t>
      </w:r>
      <w:r>
        <w:rPr>
          <w:rFonts w:eastAsia="黑体"/>
        </w:rP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t>400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400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m</m:t>
        </m:r>
        <m:r>
          <m:rPr>
            <m:sty m:val="p"/>
          </m:rPr>
          <m:t>=</m:t>
        </m:r>
        <m:r>
          <m:t>0.8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  <m:r>
          <m:rPr>
            <m:sty m:val="p"/>
          </m:rPr>
          <m:t>≈</m:t>
        </m:r>
        <m:r>
          <m:t>400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×</m:t>
        </m:r>
        <m:r>
          <m:t>0.8</m:t>
        </m:r>
        <m:r>
          <m:rPr>
            <m:sty m:val="p"/>
          </m:rPr>
          <m:t>≈</m:t>
        </m:r>
        <m:r>
          <m:t>226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IGBT（多电平逆变）：IKW40N65F5、FGH40N60SFD。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MOSFET（低压多电平）：IRF540N、CSD18540Q5B。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钳位二极管（NPC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型）：IDH20G65C5。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电平数越多，开关状态组合越复杂，需专门的载波移相/层叠调制与中点/电容电压平衡策略。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不同拓扑（NPC、飞跨电容、级联</w:t>
      </w:r>
      <w:r>
        <w:rPr>
          <w:rFonts w:eastAsia="黑体"/>
        </w:rPr>
        <w:t xml:space="preserve"> H </w:t>
      </w:r>
      <w:r>
        <w:rPr>
          <w:rFonts w:hint="eastAsia" w:eastAsia="黑体"/>
        </w:rPr>
        <w:t xml:space="preserve">桥）器件应力与平衡要求不同，需按拓扑选取控制方案。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多电平器件多，可靠性与驱动一致性需重点关注。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阶梯波形改善谐波的同时可能带来</w:t>
      </w:r>
      <w:r>
        <w:rPr>
          <w:rFonts w:eastAsia="黑体"/>
        </w:rPr>
        <w:t xml:space="preserve"> dv/dt </w:t>
      </w:r>
      <w:r>
        <w:rPr>
          <w:rFonts w:hint="eastAsia" w:eastAsia="黑体"/>
        </w:rPr>
        <w:t xml:space="preserve">与共模电压问题，需滤波与绝缘设计。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Multilevel inverter。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《电力电子学》（王兆安、刘进军）。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IEEE </w:t>
      </w:r>
      <w:r>
        <w:rPr>
          <w:rFonts w:hint="eastAsia" w:eastAsia="黑体"/>
        </w:rPr>
        <w:t xml:space="preserve">相关多电平逆变综述文献。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多电平逆变电路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多电平逆变电路</dc:title>
  <dc:creator>AI 智能体</dc:creator>
  <cp:keywords/>
  <dcterms:created xsi:type="dcterms:W3CDTF">2026-09-08T14:37:28Z</dcterms:created>
  <dcterms:modified xsi:type="dcterms:W3CDTF">2026-09-08T14:37:28Z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