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正弦波逆变电路"/>
    <w:p>
      <w:pPr>
        <w:pStyle w:val="Heading1"/>
      </w:pPr>
      <w:r>
        <w:rPr>
          <w:rFonts w:hint="eastAsia" w:eastAsia="黑体"/>
        </w:rPr>
        <w:t xml:space="preserve">正弦波逆变电路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全桥开关变换器（4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个开关器件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~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hint="eastAsia" w:eastAsia="黑体"/>
          <w:b/>
          <w:bCs/>
        </w:rPr>
        <w:t xml:space="preserve">，各反并联续流二极管）</w:t>
      </w:r>
      <w:r>
        <w:rPr>
          <w:rFonts w:eastAsia="黑体"/>
        </w:rPr>
        <w:t xml:space="preserve">、</w:t>
      </w:r>
      <w:r>
        <w:rPr>
          <w:rFonts w:eastAsia="黑体"/>
          <w:b/>
          <w:bCs/>
        </w:rPr>
        <w:t xml:space="preserve">SPWM </w:t>
      </w:r>
      <w:r>
        <w:rPr>
          <w:rFonts w:hint="eastAsia" w:eastAsia="黑体"/>
          <w:b/>
          <w:bCs/>
        </w:rPr>
        <w:t xml:space="preserve">控制器</w:t>
      </w:r>
      <w:r>
        <w:rPr>
          <w:rFonts w:eastAsia="黑体"/>
        </w:rPr>
        <w:t xml:space="preserve">、</w:t>
      </w:r>
      <w:r>
        <w:rPr>
          <w:rFonts w:eastAsia="黑体"/>
          <w:b/>
          <w:bCs/>
        </w:rPr>
        <w:t xml:space="preserve">LC </w:t>
      </w:r>
      <w:r>
        <w:rPr>
          <w:rFonts w:hint="eastAsia" w:eastAsia="黑体"/>
          <w:b/>
          <w:bCs/>
        </w:rPr>
        <w:t xml:space="preserve">输出滤波器（</w:t>
      </w:r>
      <m:oMath>
        <m:r>
          <m:t>L</m:t>
        </m:r>
        <m:r>
          <m:rPr>
            <m:sty m:val="p"/>
          </m:rPr>
          <m:t>,</m:t>
        </m:r>
        <m:r>
          <m:t>C</m:t>
        </m:r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直流母线电容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直流母线正</w:t>
      </w:r>
      <w:r>
        <w:rPr>
          <w:rFonts w:eastAsia="黑体"/>
          <w:b/>
          <w:bCs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直流母线负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桥臂中点（开关节点）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（滤波电感、滤波电容与负载公共点）。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SPWM </w:t>
      </w:r>
      <w:r>
        <w:rPr>
          <w:rFonts w:hint="eastAsia" w:eastAsia="黑体"/>
        </w:rPr>
        <w:t xml:space="preserve">驱动；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SPWM </w:t>
      </w:r>
      <w:r>
        <w:rPr>
          <w:rFonts w:hint="eastAsia" w:eastAsia="黑体"/>
        </w:rPr>
        <w:t xml:space="preserve">驱动；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SPWM </w:t>
      </w:r>
      <w:r>
        <w:rPr>
          <w:rFonts w:hint="eastAsia" w:eastAsia="黑体"/>
        </w:rPr>
        <w:t xml:space="preserve">驱动；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SPWM </w:t>
      </w:r>
      <w:r>
        <w:rPr>
          <w:rFonts w:hint="eastAsia" w:eastAsia="黑体"/>
        </w:rPr>
        <w:t xml:space="preserve">驱动；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（桥的另一中点/输出回线）；负载并联在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之间；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由此构成”全桥开关变换</w:t>
      </w:r>
      <w:r>
        <w:rPr>
          <w:rFonts w:eastAsia="黑体"/>
        </w:rPr>
        <w:t xml:space="preserve"> + SPWM </w:t>
      </w:r>
      <w:r>
        <w:rPr>
          <w:rFonts w:hint="eastAsia" w:eastAsia="黑体"/>
        </w:rPr>
        <w:t xml:space="preserve">调制</w:t>
      </w:r>
      <w:r>
        <w:rPr>
          <w:rFonts w:eastAsia="黑体"/>
        </w:rPr>
        <w:t xml:space="preserve"> + LC </w:t>
      </w:r>
      <w:r>
        <w:rPr>
          <w:rFonts w:hint="eastAsia" w:eastAsia="黑体"/>
        </w:rPr>
        <w:t xml:space="preserve">低通滤波”的正弦波逆变组态，桥臂输出占空比按正弦规律变化的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脉冲，经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滤除高次谐波后得到与调制波同频的纯净正弦波，是高质量逆变电源（并网、UPS、变频器）的标准拓扑。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通过正弦调制波与三角载波比较，生成占空比按正弦规律变化的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脉冲驱动开关桥。桥臂输出含基波与开关频率附近的高次谐波，LC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滤波器衰减高次谐波后，负载得到与调制波同频率的平滑正弦电压。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输出基波电压幅值（SPWM）：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a</m:t>
              </m:r>
            </m:sub>
          </m:sSub>
          <m:sSub>
            <m:e>
              <m:r>
                <m:t>V</m:t>
              </m:r>
            </m:e>
            <m:sub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调制度：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o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i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载波比：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i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LC </w:t>
      </w:r>
      <w:r>
        <w:rPr>
          <w:rFonts w:hint="eastAsia" w:eastAsia="黑体"/>
        </w:rPr>
        <w:t xml:space="preserve">滤波器截止频率：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滤波器特征阻抗：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直流母线电压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输出基波电压幅值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调制度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载波比（频率调制比）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o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调制波幅值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载波幅值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载波频率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输出基波频率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滤波电感、电容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H, F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↑（≤1）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基波电压升高，线性区控制精度好，超过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进入过调制。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载波频率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  <m:r>
              <m:t>r</m:t>
            </m:r>
            <m:r>
              <m:t>i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谐波频率升高、滤波更容易，但开关损耗增大。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滤波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  <w:b/>
          <w:bCs/>
        </w:rPr>
        <w:t xml:space="preserve">、</w:t>
      </w: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截止频率下降、纹波减小，但体积成本上升、动态响应变慢。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输出电压能力提高，但器件耐压与母线电容成本上升。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0.9</m:t>
        </m:r>
      </m:oMath>
      <w:r>
        <w:rPr>
          <w:rFonts w:hint="eastAsia" w:eastAsia="黑体"/>
        </w:rPr>
        <w:t xml:space="preserve">：基波幅值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1</m:t>
            </m:r>
          </m:sub>
        </m:sSub>
        <m:r>
          <m:rPr>
            <m:sty m:val="p"/>
          </m:rPr>
          <m:t>=</m:t>
        </m:r>
        <m:r>
          <m:t>360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，有效值约</w:t>
      </w:r>
      <w:r>
        <w:rPr>
          <w:rFonts w:eastAsia="黑体"/>
        </w:rPr>
        <w:t xml:space="preserve"> </w:t>
      </w:r>
      <m:oMath>
        <m:r>
          <m:t>254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mH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1.59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，远高于基波、低于载波。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IGBT：FGH40N60SFD、IRG4PC50F。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MOSFET：IRFP460、STP40NF20。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DSP：TMS320F28335、STM32F103（PWM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外设）。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驱动：IR2110、HCPL-3120。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LC </w:t>
      </w:r>
      <w:r>
        <w:rPr>
          <w:rFonts w:hint="eastAsia" w:eastAsia="黑体"/>
        </w:rPr>
        <w:t xml:space="preserve">滤波器截止频率应远高于基波、远低于开关频率，避免落入谐振区。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死区时间会造成基波电压损失与波形畸变，需补偿。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阻性、感性、容性负载下滤波器谐振特性不同，需校验稳定性。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并网时需加同步锁相（PLL）与孤岛保护。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《电力电子技术》（王兆安、刘进军）。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Sine wave inverter / Pulse-width modulation。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应用笔记（SPWM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与逆变器控制）。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正弦波逆变电路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正弦波逆变电路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