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vpwm-逆变电路"/>
    <w:p>
      <w:pPr>
        <w:pStyle w:val="Heading1"/>
      </w:pPr>
      <w:r>
        <w:rPr>
          <w:rFonts w:eastAsia="黑体"/>
        </w:rPr>
        <w:t xml:space="preserve">SVPWM </w:t>
      </w:r>
      <w:r>
        <w:rPr>
          <w:rFonts w:hint="eastAsia" w:eastAsia="黑体"/>
        </w:rPr>
        <w:t xml:space="preserve">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该电路由直流母线电容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C1）、六只功率开关管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（IGBT/MOSFET，各反并联续流二极管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）组成的三相桥式逆变器、SVPWM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调制器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IC1（DSP/控制器）及输出滤波与电机负载构成。关键节点定义如下：直流母线正节点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接三个上管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C/漏极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正端；直流母线负节点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接三个下管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6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E/源极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负端；三相开关节点（桥臂中点）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是各相上下两管的公共点，作为三相交流输出端</w:t>
      </w:r>
      <w:r>
        <w:rPr>
          <w:rFonts w:eastAsia="黑体"/>
        </w:rP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经输出滤波接电机三相绕组；控制节点是</w:t>
      </w:r>
      <w:r>
        <w:rPr>
          <w:rFonts w:eastAsia="黑体"/>
        </w:rPr>
        <w:t xml:space="preserve"> SVPWM </w:t>
      </w:r>
      <w:r>
        <w:rPr>
          <w:rFonts w:hint="eastAsia" w:eastAsia="黑体"/>
        </w:rPr>
        <w:t xml:space="preserve">调制器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输出的六路栅极驱动信号，分别接到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各栅极。</w:t>
      </w:r>
    </w:p>
    <w:p>
      <w:pPr/>
      <w:r>
        <w:rPr>
          <w:rFonts w:hint="eastAsia" w:eastAsia="黑体"/>
        </w:rPr>
        <w:t xml:space="preserve">各元件管脚连接（以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相为例，IGBT）：上管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接开关节点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接调制器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相上桥臂驱动信号；下管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接调制器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相下桥臂驱动信号；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各自反并联二极管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的阳极接其发射极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E、阴极接其集电极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r>
          <m:t>b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两相由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按相同方式构成；直流母线电容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；输出电机三相绕组分别接到开关节点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由此构成”直流母线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三相六开关桥</w:t>
      </w:r>
      <w:r>
        <w:rPr>
          <w:rFonts w:eastAsia="黑体"/>
        </w:rPr>
        <w:t xml:space="preserve"> + SVPWM </w:t>
      </w:r>
      <w:r>
        <w:rPr>
          <w:rFonts w:hint="eastAsia" w:eastAsia="黑体"/>
        </w:rPr>
        <w:t xml:space="preserve">调制”的电压型逆变组态，将八个开关状态映射为空间电压矢量，用相邻有效矢量与零矢量合成任意参考矢量，实现对三相交流输出的精确控制。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把逆变器看成在复平面内输出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个方向固定的有效电压矢量与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个零矢量。参考电压矢量落在某扇区内时，按”伏秒平衡”用该扇区两个边界矢量与零矢量分时合成，使电机磁链沿近似圆形轨迹旋转。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作用时间（伏秒平衡，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|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为参考电压矢量幅值）：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|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另一矢量作用时间：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|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BlockText"/>
      </w:pPr>
      <w:r>
        <w:rPr>
          <w:rFonts w:hint="eastAsia" w:eastAsia="黑体"/>
        </w:rPr>
        <w:t xml:space="preserve">注：若定义调制度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t> </m:t>
            </m:r>
            <m:r>
              <m:rPr>
                <m:sty m:val="p"/>
              </m:rPr>
              <m:t>|</m:t>
            </m:r>
            <m:sSub>
              <m:e>
                <m:r>
                  <m:t>V</m:t>
                </m:r>
              </m:e>
              <m:sub>
                <m:r>
                  <m:t>r</m:t>
                </m:r>
                <m:r>
                  <m:t>e</m:t>
                </m:r>
                <m:r>
                  <m:t>f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r>
                  <m:t>U</m:t>
                </m:r>
              </m:e>
              <m:sub>
                <m:r>
                  <m:t>d</m:t>
                </m:r>
                <m:r>
                  <m:t>c</m:t>
                </m:r>
              </m:sub>
            </m:sSub>
          </m:den>
        </m:f>
      </m:oMath>
      <w:r>
        <w:rPr>
          <w:rFonts w:hint="eastAsia" w:eastAsia="黑体"/>
        </w:rPr>
        <w:t xml:space="preserve">，上式可简写为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m</m:t>
        </m:r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m</m:t>
        </m:r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sin</m:t>
        </m:r>
        <m:r>
          <m:t>θ</m:t>
        </m:r>
      </m:oMath>
      <w:r>
        <w:rPr>
          <w:rFonts w:hint="eastAsia" w:eastAsia="黑体"/>
        </w:rPr>
        <w:t xml:space="preserve">；不同教材对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的定义不同，需统一。</w:t>
      </w:r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零矢量作用时间：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直流母线电压利用率（相对</w:t>
      </w:r>
      <w:r>
        <w:rPr>
          <w:rFonts w:eastAsia="黑体"/>
        </w:rPr>
        <w:t xml:space="preserve"> SPWM </w:t>
      </w:r>
      <w:r>
        <w:rPr>
          <w:rFonts w:hint="eastAsia" w:eastAsia="黑体"/>
        </w:rPr>
        <w:t xml:space="preserve">提高约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15.5%）：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两有效矢量与零矢量作用时间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参考电压矢量幅值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调制度（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sSub>
                <m:e>
                  <m:r>
                    <m:t>U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参考矢量在扇区内的角度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最大输出线电压基波幅值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调制度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有效矢量作用时间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增大、零矢量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缩短，输出基波幅值增大，直至进入过调制区。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开关周期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缩短（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合成更精细、电流纹波与谐波减小，但开关损耗上升、零矢量时间裕量变小。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直流母线电压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输出线电压上限</w:t>
      </w:r>
      <w:r>
        <w:rPr>
          <w:rFonts w:eastAsia="黑体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增大，母线电压利用率不变但绝对值提高。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参考矢量角度</w:t>
      </w:r>
      <w:r>
        <w:rPr>
          <w:rFonts w:eastAsia="黑体"/>
          <w:b/>
          <w:bCs/>
        </w:rPr>
        <w:t xml:space="preserve"> </w:t>
      </w:r>
      <m:oMath>
        <m:r>
          <m:t>θ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两有效矢量作用时间按</w:t>
      </w:r>
      <w:r>
        <w:rPr>
          <w:rFonts w:eastAsia="黑体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重新分配，决定相邻矢量占空。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说明参考矢量超出线性调制圈，需限幅处理。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540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：最大输出线电压基波幅值</w:t>
      </w:r>
      <w:r>
        <w:rPr>
          <w:rFonts w:eastAsia="黑体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540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≈</m:t>
        </m:r>
        <m:r>
          <m:t>312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（线性区上界）。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540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280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（对应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×</m:t>
        </m:r>
        <m:r>
          <m:t>280</m:t>
        </m:r>
        <m:r>
          <m:rPr>
            <m:sty m:val="p"/>
          </m:rPr>
          <m:t>/</m:t>
        </m:r>
        <m:r>
          <m:t>540</m:t>
        </m:r>
        <m:r>
          <m:rPr>
            <m:sty m:val="p"/>
          </m:rPr>
          <m:t>≈</m:t>
        </m:r>
        <m:r>
          <m:t>0.9</m:t>
        </m:r>
      </m:oMath>
      <w:r>
        <w:rPr>
          <w:rFonts w:hint="eastAsia" w:eastAsia="黑体"/>
        </w:rPr>
        <w:t xml:space="preserve">）、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、</w:t>
      </w:r>
      <m:oMath>
        <m:r>
          <m:t>θ</m:t>
        </m:r>
        <m:r>
          <m:rPr>
            <m:sty m:val="p"/>
          </m:rPr>
          <m:t>=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×</m:t>
            </m:r>
            <m:r>
              <m:t>280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540</m:t>
            </m:r>
          </m:den>
        </m:f>
        <m:r>
          <m:rPr>
            <m:sty m:val="p"/>
          </m:rPr>
          <m:t>×</m:t>
        </m:r>
        <m:r>
          <m:rPr>
            <m:sty m:val="p"/>
          </m:rPr>
          <m:t>sin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≈</m:t>
        </m:r>
        <m:r>
          <m:t>44.9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44.9</m:t>
        </m:r>
        <m:r>
          <m:rPr>
            <m:sty m:val="p"/>
          </m:rPr>
          <m:t>≈</m:t>
        </m:r>
        <m:r>
          <m:t>10.2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典型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三相桥功率模块/管：IPD60R360P7、IKCM30F60GA。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栅极驱动：IR2136、UCC21520。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控制器/DSP：TMS320F28027（C2000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系列，内置</w:t>
      </w:r>
      <w:r>
        <w:rPr>
          <w:rFonts w:eastAsia="黑体"/>
        </w:rPr>
        <w:t xml:space="preserve"> SVPWM </w:t>
      </w:r>
      <w:r>
        <w:rPr>
          <w:rFonts w:hint="eastAsia" w:eastAsia="黑体"/>
        </w:rPr>
        <w:t xml:space="preserve">硬件模块）。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需根据参考矢量所在扇区正确选择相邻有效矢量与扇区编号，避免矢量跳变。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零矢量作用时间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须非负，过调制时要对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做等比缩放限幅。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切换顺序应尽量”中心对称”，减少每周期开关动作次数与谐波。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SPWM </w:t>
      </w:r>
      <w:r>
        <w:rPr>
          <w:rFonts w:hint="eastAsia" w:eastAsia="黑体"/>
        </w:rPr>
        <w:t xml:space="preserve">相比母线电压利用率高约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15.5%，但实现需配合数字处理器完成矢量分解。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Space vector modulation。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《电机控制与电力电子技术》。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应用手册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SPRABS6（SVPWM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实现）。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SVPWM逆变电路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SVPWM逆变电路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