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矢量控制变频电路"/>
    <w:p>
      <w:pPr>
        <w:pStyle w:val="Heading1"/>
      </w:pPr>
      <w:r>
        <w:rPr>
          <w:rFonts w:hint="eastAsia" w:eastAsia="黑体"/>
        </w:rPr>
        <w:t xml:space="preserve">矢量控制变频电路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该电路以交-直-交电压型逆变器为主电路：输入整流器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REC1（二极管桥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hint="eastAsia" w:eastAsia="黑体"/>
        </w:rPr>
        <w:t xml:space="preserve">）、直流母线电容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C1）、三相逆变桥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 w:eastAsia="黑体"/>
        </w:rPr>
        <w:t xml:space="preserve">（各反并联续流二极管），配以磁场定向（矢量）控制器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IC1（DSP）、电流传感器与编码器/旋变组成。关键节点定义如下：三相交流输入节点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接整流器</w:t>
      </w:r>
      <w:r>
        <w:rPr>
          <w:rFonts w:eastAsia="黑体"/>
        </w:rPr>
        <w:t xml:space="preserve"> REC1 </w:t>
      </w:r>
      <w:r>
        <w:rPr>
          <w:rFonts w:hint="eastAsia" w:eastAsia="黑体"/>
        </w:rPr>
        <w:t xml:space="preserve">交流输入端；直流母线正节点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是整流器正输出、母线电容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正端与三个上管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C/漏极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的公共点；直流母线负节点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是整流器负输出、母线电容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负端与三个下管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6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E/源极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的公共点；逆变输出节点</w:t>
      </w:r>
      <w:r>
        <w:rPr>
          <w:rFonts w:eastAsia="黑体"/>
        </w:rP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是各相上下管桥臂中点，接电机三相绕组；采样节点是电流传感器与编码器/旋变将定子三相电流与转子磁链角送入控制器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的输入点。</w:t>
      </w:r>
    </w:p>
    <w:p>
      <w:pPr/>
      <w:r>
        <w:rPr>
          <w:rFonts w:hint="eastAsia" w:eastAsia="黑体"/>
        </w:rPr>
        <w:t xml:space="preserve">各元件管脚连接（以</w:t>
      </w:r>
      <w:r>
        <w:rPr>
          <w:rFonts w:eastAsia="黑体"/>
        </w:rPr>
        <w:t xml:space="preserve"> U </w:t>
      </w:r>
      <w:r>
        <w:rPr>
          <w:rFonts w:hint="eastAsia" w:eastAsia="黑体"/>
        </w:rPr>
        <w:t xml:space="preserve">相为例，IGBT）：整流器</w:t>
      </w:r>
      <w:r>
        <w:rPr>
          <w:rFonts w:eastAsia="黑体"/>
        </w:rPr>
        <w:t xml:space="preserve"> REC1 </w:t>
      </w:r>
      <w:r>
        <w:rPr>
          <w:rFonts w:hint="eastAsia" w:eastAsia="黑体"/>
        </w:rPr>
        <w:t xml:space="preserve">交流输入端接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rPr>
          <w:rFonts w:hint="eastAsia" w:eastAsia="黑体"/>
        </w:rPr>
        <w:t xml:space="preserve">，直流正、负输出端分别接正节点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；逆变桥上管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r>
          <m:t>U</m:t>
        </m:r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接控制器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U </w:t>
      </w:r>
      <w:r>
        <w:rPr>
          <w:rFonts w:hint="eastAsia" w:eastAsia="黑体"/>
        </w:rPr>
        <w:t xml:space="preserve">相上桥臂驱动；U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U</m:t>
        </m:r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U </w:t>
      </w:r>
      <w:r>
        <w:rPr>
          <w:rFonts w:hint="eastAsia" w:eastAsia="黑体"/>
        </w:rPr>
        <w:t xml:space="preserve">相下桥臂驱动；</w:t>
      </w:r>
      <m:oMath>
        <m:r>
          <m:t>V</m:t>
        </m:r>
      </m:oMath>
      <w:r>
        <w:rPr>
          <w:rFonts w:eastAsia="黑体"/>
        </w:rPr>
        <w:t xml:space="preserve">、</w:t>
      </w:r>
      <m:oMath>
        <m:r>
          <m:t>W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两相由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按相同方式构成；三相电流传感器接在各相输出回路、编码器/旋变安装在电机轴上，二者输出均送入控制器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IC1；三相电机绕组接</w:t>
      </w:r>
      <w:r>
        <w:rPr>
          <w:rFonts w:eastAsia="黑体"/>
        </w:rP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由此构成”交-直-交逆变主电路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磁场定向矢量控制”组态，通过坐标变换将定子电流分解为励磁分量与转矩分量分别控制，使交流异步电机获得类似直流电机的调速性能。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控制器采集定子三相电流，经</w:t>
      </w:r>
      <w:r>
        <w:rPr>
          <w:rFonts w:eastAsia="黑体"/>
        </w:rPr>
        <w:t xml:space="preserve"> Clarke/Park </w:t>
      </w:r>
      <w:r>
        <w:rPr>
          <w:rFonts w:hint="eastAsia" w:eastAsia="黑体"/>
        </w:rPr>
        <w:t xml:space="preserve">变换旋转到与转子磁链同步的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-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坐标系，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控制磁通、</w:t>
      </w:r>
      <m:oMath>
        <m:sSub>
          <m:e>
            <m:r>
              <m:t>i</m:t>
            </m:r>
          </m:e>
          <m:sub>
            <m:r>
              <m:t>q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控制转矩，二者独立调节；再经逆变换与</w:t>
      </w:r>
      <w:r>
        <w:rPr>
          <w:rFonts w:eastAsia="黑体"/>
        </w:rPr>
        <w:t xml:space="preserve"> SPWM/SVPWM </w:t>
      </w:r>
      <w:r>
        <w:rPr>
          <w:rFonts w:hint="eastAsia" w:eastAsia="黑体"/>
        </w:rPr>
        <w:t xml:space="preserve">生成逆变</w:t>
      </w:r>
      <w:r>
        <w:rPr>
          <w:rFonts w:eastAsia="黑体"/>
        </w:rPr>
        <w:t xml:space="preserve"> trigger </w:t>
      </w:r>
      <w:r>
        <w:rPr>
          <w:rFonts w:hint="eastAsia" w:eastAsia="黑体"/>
        </w:rPr>
        <w:t xml:space="preserve">信号，实现快速、精确的转矩与转速控制。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Clarke </w:t>
      </w:r>
      <w:r>
        <w:rPr>
          <w:rFonts w:hint="eastAsia" w:eastAsia="黑体"/>
        </w:rPr>
        <w:t xml:space="preserve">变换（三相到两相静止坐标）：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Park </w:t>
      </w:r>
      <w:r>
        <w:rPr>
          <w:rFonts w:hint="eastAsia" w:eastAsia="黑体"/>
        </w:rPr>
        <w:t xml:space="preserve">变换（静止到旋转坐标）：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sin</m:t>
          </m:r>
          <m:r>
            <m:t>θ</m:t>
          </m:r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cos</m:t>
          </m:r>
          <m:r>
            <m:t>θ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电磁转矩（矢量控制下）：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p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den>
          </m:f>
          <m:sSub>
            <m:e>
              <m:r>
                <m:t>ψ</m:t>
              </m:r>
            </m:e>
            <m:sub>
              <m:r>
                <m:t>r</m:t>
              </m:r>
            </m:sub>
          </m:sSub>
          <m:sSub>
            <m:e>
              <m:r>
                <m:t>i</m:t>
              </m:r>
            </m:e>
            <m:sub>
              <m:r>
                <m:t>q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转差角频率：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s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ψ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定子三相电流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静止坐标电流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旋转坐标电流（励磁/转矩）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转子磁链角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电磁转矩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N·m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磁极对数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ψ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转子磁链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Wb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互感/转子电感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s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转差角频率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励磁电流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磁通增大，转矩能力提高，但磁路饱和风险上升。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转矩电流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q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输出转矩增大，加速更快，但定子电流与发热增加。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磁链观测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旋变精度</w:t>
      </w:r>
      <w:r>
        <w:rPr>
          <w:rFonts w:eastAsia="黑体"/>
          <w:b/>
          <w:bCs/>
        </w:rPr>
        <w:t xml:space="preserve">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定向不准，转矩脉动增大。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电流纹波减小、控制性能好，但开关损耗增大。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0.11</m:t>
        </m:r>
        <m:r>
          <m:t> 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ψ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0.8</m:t>
        </m:r>
        <m:r>
          <m:t> </m:t>
        </m:r>
        <m:r>
          <m:rPr>
            <m:nor/>
            <m:sty m:val="p"/>
          </m:rPr>
          <m:t>Wb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0.1</m:t>
            </m:r>
          </m:num>
          <m:den>
            <m:r>
              <m:t>0.11</m:t>
            </m:r>
          </m:den>
        </m:f>
        <m:r>
          <m:rPr>
            <m:sty m:val="p"/>
          </m:rPr>
          <m:t>×</m:t>
        </m:r>
        <m:r>
          <m:t>0.8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≈</m:t>
        </m:r>
        <m:r>
          <m:t>21.8</m:t>
        </m:r>
        <m:r>
          <m:t> </m:t>
        </m:r>
        <m:r>
          <m:rPr>
            <m:nor/>
            <m:sty m:val="p"/>
          </m:rPr>
          <m:t>N·m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额定频率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下以矢量控制实现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0～1500</w:t>
      </w:r>
      <w:r>
        <w:rPr>
          <w:rFonts w:eastAsia="黑体"/>
        </w:rPr>
        <w:t xml:space="preserve"> r/min </w:t>
      </w:r>
      <w:r>
        <w:rPr>
          <w:rFonts w:hint="eastAsia" w:eastAsia="黑体"/>
        </w:rPr>
        <w:t xml:space="preserve">宽范围调速。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DSP：TMS320F28335、TMS320F28069。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IPM：PM50RLA120、FSAM30SH60A。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电流传感器：ACS712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ACS758、霍尔电流传感器。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编码器/旋变：增量式光电编码器、旋转变压器。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需精确的转子磁链定向信息（磁链观测或传感器），低速区定向误差大。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电机参数（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hint="eastAsia" w:eastAsia="黑体"/>
        </w:rPr>
        <w:t xml:space="preserve">、转子电阻）随温度变化，需在线辨识或补偿。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弱磁区（高于额定转速）需减小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进行弱磁控制。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需过流、过压、过温保护及死区补偿，保证可靠性。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《电力拖动自动控制系统》（陈伯时）。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Vector control (motor)。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应用笔记（FOC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磁场定向控制）。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矢量控制变频电路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矢量控制变频电路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