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rc-并联结构"/>
    <w:p>
      <w:pPr>
        <w:pStyle w:val="Heading1"/>
      </w:pPr>
      <w:r>
        <w:rPr>
          <w:rFonts w:eastAsia="黑体"/>
        </w:rPr>
        <w:t xml:space="preserve">RC </w:t>
      </w:r>
      <w:r>
        <w:rPr>
          <w:rFonts w:hint="eastAsia" w:eastAsia="黑体"/>
        </w:rPr>
        <w:t xml:space="preserve">并联结构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一个电阻</w:t>
      </w:r>
      <w:r>
        <w:rPr>
          <w:rFonts w:eastAsia="黑体"/>
          <w:b/>
          <w:bCs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一个电容</w:t>
      </w:r>
      <w:r>
        <w:rPr>
          <w:rFonts w:eastAsia="黑体"/>
          <w:b/>
          <w:bCs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并联组成的二元件网络。电路共有</w:t>
      </w:r>
      <w:r>
        <w:rPr>
          <w:rFonts w:eastAsia="黑体"/>
        </w:rPr>
        <w:t xml:space="preserve"> 2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上端（输入）节点</w:t>
      </w:r>
      <w:r>
        <w:rPr>
          <w:rFonts w:hint="eastAsia" w:eastAsia="黑体"/>
        </w:rPr>
        <w:t xml:space="preserve">（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的一端、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的一端与外接端口上端相连）；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下端（公共）节点</w:t>
      </w:r>
      <w:r>
        <w:rPr>
          <w:rFonts w:hint="eastAsia" w:eastAsia="黑体"/>
        </w:rPr>
        <w:t xml:space="preserve">（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的另一端、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的另一端与外接端口下端/地相连）。</w:t>
      </w:r>
    </w:p>
    <w:p>
      <w:pPr/>
      <w:r>
        <w:rPr>
          <w:rFonts w:hint="eastAsia" w:eastAsia="黑体"/>
        </w:rPr>
        <w:t xml:space="preserve">各元件管脚连接：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一端接上端节点、另一端接下端节点；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一端接上端节点、另一端接下端节点。两元件跨接在节点①与节点②之间，承受同一端口电压。</w:t>
      </w:r>
    </w:p>
    <w:p>
      <w:pPr/>
      <w:r>
        <w:rPr>
          <w:rFonts w:hint="eastAsia" w:eastAsia="黑体"/>
        </w:rPr>
        <w:t xml:space="preserve">由此构成”电阻与电容并联跨接于同一两端、两端受同一电压”的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并联组态，常用于并联补偿、高频旁路、相位补偿及与电感配合构成选频网络，与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串联结构互为对偶。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电阻恒定导通直流与各频率信号；电容对低频呈高阻抗（近似开路）、对高频呈低阻抗（近似短路）。二者并联后，高频分量更多从电容支路流过，呈现随频率变化的阻抗。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pStyle w:val="FirstParagraph"/>
      </w:pPr>
      <w:r>
        <w:rPr>
          <w:rFonts w:hint="eastAsia" w:eastAsia="黑体"/>
        </w:rPr>
        <w:t xml:space="preserve">并联等效阻抗：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  <m:r>
                <m:t>ω</m:t>
              </m:r>
              <m:r>
                <m:t>R</m:t>
              </m:r>
              <m:r>
                <m:t>C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j</m:t>
                  </m:r>
                  <m:r>
                    <m:t>ω</m:t>
                  </m:r>
                  <m:r>
                    <m:t>C</m:t>
                  </m:r>
                </m:den>
              </m:f>
            </m:num>
            <m:den>
              <m:r>
                <m:t>R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j</m:t>
                  </m:r>
                  <m:r>
                    <m:t>ω</m:t>
                  </m:r>
                  <m:r>
                    <m:t>C</m:t>
                  </m:r>
                </m:den>
              </m:f>
            </m:den>
          </m:f>
        </m:oMath>
      </m:oMathPara>
    </w:p>
    <w:p>
      <w:pPr>
        <w:pStyle w:val="FirstParagraph"/>
      </w:pPr>
      <w:r>
        <w:rPr>
          <w:rFonts w:hint="eastAsia" w:eastAsia="黑体"/>
        </w:rPr>
        <w:t xml:space="preserve">阻抗幅值：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Z</m:t>
          </m:r>
          <m:r>
            <m:rPr>
              <m:sty m:val="p"/>
            </m:rPr>
            <m:t>|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ω</m:t>
                  </m:r>
                  <m:r>
                    <m:t>R</m:t>
                  </m:r>
                  <m: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rPr>
          <w:rFonts w:hint="eastAsia" w:eastAsia="黑体"/>
        </w:rPr>
        <w:t xml:space="preserve">转折（-3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dB）角频率：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ω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R</m:t>
              </m:r>
              <m:r>
                <m:t>C</m:t>
              </m:r>
            </m:den>
          </m:f>
        </m:oMath>
      </m:oMathPara>
    </w:p>
    <w:p>
      <w:pPr>
        <w:pStyle w:val="FirstParagraph"/>
      </w:pPr>
      <w:r>
        <w:rPr>
          <w:rFonts w:hint="eastAsia" w:eastAsia="黑体"/>
        </w:rPr>
        <w:t xml:space="preserve">阻抗相位角：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arctan</m:t>
          </m:r>
          <m:r>
            <m:rPr>
              <m:sty m:val="p"/>
            </m:rPr>
            <m:t>(</m:t>
          </m:r>
          <m:r>
            <m:t>ω</m:t>
          </m:r>
          <m:r>
            <m:t>R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eastAsia="黑体"/>
        </w:rPr>
        <w:t xml:space="preserve">时间常数：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=</m:t>
          </m:r>
          <m:r>
            <m:t>R</m:t>
          </m:r>
          <m:r>
            <m:t>C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并联等效复阻抗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ω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角频率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rad/s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τ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时间常数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1"/>
        </w:numPr>
      </w:pPr>
      <w:r>
        <w:rPr>
          <w:rFonts w:eastAsia="黑体"/>
          <w:b/>
          <w:bCs/>
        </w:rPr>
        <w:t xml:space="preserve">R↑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低频（直流）阻抗增大，转折角频率</w:t>
      </w:r>
      <w:r>
        <w:rPr>
          <w:rFonts w:eastAsia="黑体"/>
        </w:rPr>
        <w:t xml:space="preserve"> </w:t>
      </w:r>
      <m:oMath>
        <m:sSub>
          <m:e>
            <m:r>
              <m:t>ω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降低。</w:t>
      </w:r>
    </w:p>
    <w:p>
      <w:pPr>
        <w:pStyle w:val="Compact"/>
        <w:numPr>
          <w:ilvl w:val="0"/>
          <w:numId w:val="1001"/>
        </w:numPr>
      </w:pPr>
      <w:r>
        <w:rPr>
          <w:rFonts w:eastAsia="黑体"/>
          <w:b/>
          <w:bCs/>
        </w:rPr>
        <w:t xml:space="preserve">C↑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高频阻抗下降更快，转折角频率</w:t>
      </w:r>
      <w:r>
        <w:rPr>
          <w:rFonts w:eastAsia="黑体"/>
        </w:rPr>
        <w:t xml:space="preserve"> </w:t>
      </w:r>
      <m:oMath>
        <m:sSub>
          <m:e>
            <m:r>
              <m:t>ω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降低。</w:t>
      </w:r>
    </w:p>
    <w:p>
      <w:pPr>
        <w:pStyle w:val="Compact"/>
        <w:numPr>
          <w:ilvl w:val="0"/>
          <w:numId w:val="1001"/>
        </w:numPr>
      </w:pPr>
      <w:r>
        <w:rPr>
          <w:rFonts w:eastAsia="黑体"/>
          <w:b/>
          <w:bCs/>
        </w:rPr>
        <w:t xml:space="preserve">R↓ </w:t>
      </w:r>
      <w:r>
        <w:rPr>
          <w:rFonts w:hint="eastAsia" w:eastAsia="黑体"/>
          <w:b/>
          <w:bCs/>
        </w:rPr>
        <w:t xml:space="preserve">或</w:t>
      </w:r>
      <w:r>
        <w:rPr>
          <w:rFonts w:eastAsia="黑体"/>
          <w:b/>
          <w:bCs/>
        </w:rPr>
        <w:t xml:space="preserve"> C↓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转折频率升高，高频旁路作用减弱。</w:t>
      </w:r>
    </w:p>
    <w:p>
      <w:pPr>
        <w:pStyle w:val="Compact"/>
        <w:numPr>
          <w:ilvl w:val="0"/>
          <w:numId w:val="1001"/>
        </w:numPr>
      </w:pPr>
      <w:r>
        <w:rPr>
          <w:rFonts w:eastAsia="黑体"/>
        </w:rPr>
        <w:t xml:space="preserve">R、C </w:t>
      </w:r>
      <w:r>
        <w:rPr>
          <w:rFonts w:hint="eastAsia" w:eastAsia="黑体"/>
        </w:rPr>
        <w:t xml:space="preserve">乘积决定转折频率，二者可按需搭配调整。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den>
        </m:f>
        <m:r>
          <m:rPr>
            <m:sty m:val="p"/>
          </m:rPr>
          <m:t>≈</m:t>
        </m:r>
        <m:r>
          <m:t>1.59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直流时电容开路，</w:t>
      </w:r>
      <m:oMath>
        <m:r>
          <m:t>Z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；高频时电容短路，</w:t>
      </w:r>
      <m:oMath>
        <m:r>
          <m:t>Z</m:t>
        </m:r>
        <m:r>
          <m:rPr>
            <m:sty m:val="p"/>
          </m:rPr>
          <m:t>→</m:t>
        </m:r>
        <m:r>
          <m:t>0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电阻：0805</w:t>
      </w:r>
      <w:r>
        <w:rPr>
          <w:rFonts w:eastAsia="黑体"/>
        </w:rPr>
        <w:t xml:space="preserve"> / 0603 </w:t>
      </w:r>
      <w:r>
        <w:rPr>
          <w:rFonts w:hint="eastAsia" w:eastAsia="黑体"/>
        </w:rPr>
        <w:t xml:space="preserve">贴片电阻。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电容：C0G/NP0（稳定）、X7R（去耦）。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并联电容会降低高频阻抗，注意其对信号源的负载效应。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电容耐压需高于两端最大电压。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实际电容存在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ESL，极高频率下阻抗不再单调下降。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《电路》（邱关源）。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Wikipedia: RC circuit。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应用笔记（RC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补偿与滤波相关）。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RC并联结构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RC并联结构</dc:title>
  <dc:creator>AI 智能体</dc:creator>
  <cp:keywords/>
  <dcterms:created xsi:type="dcterms:W3CDTF">2026-09-08T14:37:29Z</dcterms:created>
  <dcterms:modified xsi:type="dcterms:W3CDTF">2026-09-08T14:37:29Z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