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结构"/>
    <w:p>
      <w:pPr>
        <w:pStyle w:val="Heading1"/>
      </w:pPr>
      <w:r>
        <w:rPr>
          <w:rFonts w:hint="eastAsia" w:eastAsia="黑体"/>
        </w:rPr>
        <w:t xml:space="preserve">半桥结构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两个开关元件（上管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与下管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串联跨接在电源正与地之间组成。电路共有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（与上管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半桥中点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及负载另一端相连）。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接半桥中点、G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接半桥中点、S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接下管驱动；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一端接半桥中点、另一端接地端。上、下两管交替导通（互补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PWM），中点电压在高电平（近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）与低电平（近地）之间切换。</w:t>
      </w:r>
    </w:p>
    <w:p>
      <w:pPr/>
      <w:r>
        <w:rPr>
          <w:rFonts w:hint="eastAsia" w:eastAsia="黑体"/>
        </w:rPr>
        <w:t xml:space="preserve">由此构成”上下两管串联跨接于电源正与地之间、负载接于中点”的半桥组态，比全桥少两个开关，是开关电源、逆变、电机驱动及栅极驱动的基本单元。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上、下两管交替导通（互补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PWM），中点电压在高电平（近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）与低电平（近地）之间切换。两管禁止同时导通，中点输出的方波电压经滤波或直接驱动负载。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中点平均电压（上管占空比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中点电压摆幅（峰峰值）：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电感电流纹波（降压半桥，开关周期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死区时间与开关周期的关系（示意）：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中点平均电压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上管占空比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中点平均电压上升，输出功率增大。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开关频率↑（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hint="eastAsia" w:eastAsia="黑体"/>
          <w:b/>
          <w:bCs/>
        </w:rPr>
        <w:t xml:space="preserve">↓）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减小，但开关损耗增大。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L↑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电流纹波减小、输出更平滑，但动态响应变慢。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死区时间过长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输出失真、效率略降；过短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有直通风险。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MOSFET：IRFZ44N、IRF3205、AO3400、IR2104（半桥栅极驱动）。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栅极驱动：IR2104、IR2110、UCC27200。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上、下管严禁同时导通，务必设置死区时间防止直通。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上管驱动需自举电路或隔离驱动提供浮动栅压。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感性负载须有续流路径，防止关断时电压尖峰击穿器件。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Half-bridge。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TI（Bootstrap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半桥驱动应用笔记）。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Infineon IR2104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