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推挽结构"/>
    <w:p>
      <w:pPr>
        <w:pStyle w:val="Heading1"/>
      </w:pPr>
      <w:r>
        <w:rPr>
          <w:rFonts w:hint="eastAsia" w:eastAsia="黑体"/>
        </w:rPr>
        <w:t xml:space="preserve">推挽结构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两只同型或互补型晶体管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轮流工作、从同一端点交替”推”电流和”拉”电流的输出级结构。以互补型为例，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NPN、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PNP。电路共有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相连的驱动端）；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正电源端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（与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负电源端</w:t>
      </w:r>
      <w:r>
        <w:rPr>
          <w:rFonts w:eastAsia="黑体"/>
          <w:b/>
          <w:bCs/>
        </w:rPr>
        <w:t xml:space="preserve"> −VEE</w:t>
      </w:r>
      <w:r>
        <w:rPr>
          <w:rFonts w:hint="eastAsia" w:eastAsia="黑体"/>
        </w:rPr>
        <w:t xml:space="preserve">（与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相连并与负载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一端相连）。</w:t>
      </w:r>
    </w:p>
    <w:p>
      <w:pPr/>
      <w:r>
        <w:rPr>
          <w:rFonts w:hint="eastAsia" w:eastAsia="黑体"/>
        </w:rPr>
        <w:t xml:space="preserve">各管脚连接：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（NPN）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接正电源端、E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（PNP）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接负电源端、E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接输出节点；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GND。（变压器耦合形式则两管交替驱动原边两半绕组，负载经变压器耦合折算。）</w:t>
      </w:r>
    </w:p>
    <w:p>
      <w:pPr/>
      <w:r>
        <w:rPr>
          <w:rFonts w:hint="eastAsia" w:eastAsia="黑体"/>
        </w:rPr>
        <w:t xml:space="preserve">由此构成”两只管子轮流导通、在输出端交替推拉电流”的推挽输出组态，两管分时工作、静态电流小、效率高，向负载提供双向电流。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对称的两只管子轮流导通：一只在信号正半周向负载输出（source）电流，另一只在负半周从负载吸入（sink）电流，负载上得到完整的双向波形。两管分时工作，静态电流小、效率高。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输出功率（正弦、峰值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</m:oMath>
      <w:r>
        <w:rPr>
          <w:rFonts w:hint="eastAsia" w:eastAsia="黑体"/>
        </w:rPr>
        <w:t xml:space="preserve">、负载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最大输出功率：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乙类推挽最大效率：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≈</m:t>
          </m:r>
          <m:r>
            <m:t>78.5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变压器耦合匝比与负载折合（匝比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变压器匝比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输出功率增大，电流与功耗上升。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电源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最大输出功率平方增大。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两管参数不一致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正负半周不对称，引入失真。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变压器匝比</w:t>
      </w:r>
      <w:r>
        <w:rPr>
          <w:rFonts w:eastAsia="黑体"/>
          <w:b/>
          <w:bCs/>
        </w:rPr>
        <w:t xml:space="preserve"> n↑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折算到初级的负载阻抗增大，匹配更易实现。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最大效率</w:t>
      </w:r>
      <w:r>
        <w:rPr>
          <w:rFonts w:eastAsia="黑体"/>
        </w:rPr>
        <w:t xml:space="preserve"> </w:t>
      </w:r>
      <m:oMath>
        <m:sSub>
          <m:e>
            <m:r>
              <m:t>η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≈</m:t>
        </m:r>
        <m:r>
          <m:t>78.5</m:t>
        </m:r>
        <m:r>
          <m:rPr>
            <m:sty m:val="p"/>
          </m:rPr>
          <m:t>%</m:t>
        </m:r>
      </m:oMath>
      <w:r>
        <w:rPr>
          <w:rFonts w:hint="eastAsia" w:eastAsia="黑体"/>
        </w:rPr>
        <w:t xml:space="preserve">，实际因饱和压降略低。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互补对管：S8050/S8550、TIP41C/TIP42C、2N3055。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集成功放：LM386、TDA2030、LM1875。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栅极/驱动推挽：各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栅极驱动器（如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TC4420）。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乙类推挽存在交越失真，需加偏置（甲乙类）改善。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两管需配对，否则输出不对称引入失真。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BJT </w:t>
      </w:r>
      <w:r>
        <w:rPr>
          <w:rFonts w:hint="eastAsia" w:eastAsia="黑体"/>
        </w:rPr>
        <w:t xml:space="preserve">推挽需防基极区存储导致关断延迟；MOS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推挽注意米勒效应。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Push–pull output。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Class-AB amplifier。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推挽结构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推挽结构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