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对称半桥电路"/>
    <w:p>
      <w:pPr>
        <w:pStyle w:val="Heading1"/>
      </w:pPr>
      <w:r>
        <w:rPr>
          <w:rFonts w:hint="eastAsia"/>
        </w:rPr>
        <w:t xml:space="preserve">对称半桥电路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对称半桥（Symmetric</w:t>
      </w:r>
      <w:r>
        <w:t xml:space="preserve"> </w:t>
      </w:r>
      <w:r>
        <w:rPr>
          <w:rFonts w:hint="eastAsia"/>
        </w:rPr>
        <w:t xml:space="preserve">Half-Bridge）变换器由</w:t>
      </w:r>
      <w:r>
        <w:t xml:space="preserve"> </w:t>
      </w:r>
      <w:r>
        <w:rPr>
          <w:rFonts w:hint="eastAsia"/>
          <w:b/>
          <w:bCs/>
        </w:rPr>
        <w:t xml:space="preserve">两个功率开关管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两个均压电容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一个高频变压器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副边整流滤波环节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桥臂开关节点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漏极、变压器初级一端相连）；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均压电容中点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上端、变压器初级另一端相连）；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（副边整流滤波输出端）。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、源极接开关节点</w:t>
      </w:r>
      <w:r>
        <w:t xml:space="preserve"> </w:t>
      </w:r>
      <w:r>
        <w:rPr>
          <w:rFonts w:hint="eastAsia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、下端接均压节点</w:t>
      </w:r>
      <w:r>
        <w:t xml:space="preserve"> </w:t>
      </w:r>
      <w:r>
        <w:rPr>
          <w:rFonts w:hint="eastAsia"/>
        </w:rPr>
        <w:t xml:space="preserve">B；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上端接均压节点</w:t>
      </w:r>
      <w:r>
        <w:t xml:space="preserve"> </w:t>
      </w:r>
      <w:r>
        <w:rPr>
          <w:rFonts w:hint="eastAsia"/>
        </w:rPr>
        <w:t xml:space="preserve">B、下端接地；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初级一端接开关节点</w:t>
      </w:r>
      <w:r>
        <w:t xml:space="preserve"> </w:t>
      </w:r>
      <w:r>
        <w:rPr>
          <w:rFonts w:hint="eastAsia"/>
        </w:rPr>
        <w:t xml:space="preserve">A、另一端接均压节点</w:t>
      </w:r>
      <w:r>
        <w:t xml:space="preserve"> </w:t>
      </w:r>
      <w:r>
        <w:rPr>
          <w:rFonts w:hint="eastAsia"/>
        </w:rPr>
        <w:t xml:space="preserve">B，次级接副边全波整流；副边整流经输出滤波后，滤波电容上端接输出正端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、下端接副边地，负载跨接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与副边地。</w:t>
      </w:r>
    </w:p>
    <w:p>
      <w:pPr/>
      <w:r>
        <w:rPr>
          <w:rFonts w:hint="eastAsia"/>
        </w:rPr>
        <w:t xml:space="preserve">由此构成两开关以相同占空比（各约</w:t>
      </w:r>
      <w:r>
        <w:t xml:space="preserve"> </w:t>
      </w:r>
      <w:r>
        <w:rPr>
          <w:rFonts w:hint="eastAsia"/>
        </w:rPr>
        <w:t xml:space="preserve">50%）交替互补导通、变压器原边承受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正负对称方波电压的对称半桥隔离</w:t>
      </w:r>
      <w:r>
        <w:t xml:space="preserve"> DC-DC/DC-AC </w:t>
      </w:r>
      <w:r>
        <w:rPr>
          <w:rFonts w:hint="eastAsia"/>
        </w:rPr>
        <w:t xml:space="preserve">组态，是经典隔离型拓扑。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上管导通时电流从正母线经变压器流向下管，下管导通时电流反向，从而在变压器原边产生幅值为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的交流方波。由于两开关占空比对称，变压器自然无直流偏磁；能量经变压器耦合到副边，整流滤波后得到直流输出。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原边方波电压幅值：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输出电压（副边全波整流）：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变压器匝比：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最大占空比（每开关）：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&lt;</m:t>
          </m:r>
          <m:r>
            <m:t>0.5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原边方波幅值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每个开关占空比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原/副边匝数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每个开关导通时间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输出电压升高，但两管之间死区减小，直通风险增大。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变压器匝比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输出电压降低；副边二极管电压应力同时变化。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均压电容容量增大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中点电压更稳，但体积与成本增加。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变压器与滤波器件可小型化，但开关损耗增大。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400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×</m:t>
        </m:r>
        <m:r>
          <m:t>0.45</m:t>
        </m:r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：原边方波幅值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400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功率开关管：IRF840、IRFP460、STW20NK50Z。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输出整流二极管：MBR3045、STPS3045（肖特基）。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控制芯片：SG3525、TL494、UC3825。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两开关占空比必须严格相等，否则变压器产生直流偏磁导致饱和。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桥臂中点与均压电容中点之间有效电压仅为母线电压的一半，同等功率下原边电流较大。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上下管需设置死区时间，防止直通。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变压器需设计复位回路（伏秒平衡），并考虑漏感引起的尖峰。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Switched-mode power supply。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SNVA006《Designing Switching Voltage Regulators with the TL494》。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对称半桥电路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对称半桥电路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