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交错并联-boost-电路"/>
    <w:p>
      <w:pPr>
        <w:pStyle w:val="Heading1"/>
      </w:pPr>
      <w:r>
        <w:rPr>
          <w:rFonts w:hint="eastAsia"/>
        </w:rPr>
        <w:t xml:space="preserve">交错并联</w:t>
      </w:r>
      <w:r>
        <w:t xml:space="preserve"> 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个并联的</w:t>
      </w:r>
      <w:r>
        <w:rPr>
          <w:b/>
          <w:bCs/>
        </w:rPr>
        <w:t xml:space="preserve"> Boost </w:t>
      </w:r>
      <w:r>
        <w:rPr>
          <w:rFonts w:hint="eastAsia"/>
          <w:b/>
          <w:bCs/>
        </w:rPr>
        <w:t xml:space="preserve">单元</w:t>
      </w:r>
      <w:r>
        <w:rPr>
          <w:rFonts w:hint="eastAsia"/>
        </w:rPr>
        <w:t xml:space="preserve">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相含升压电感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、开关管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、续流二极管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/>
        </w:rPr>
        <w:t xml:space="preserve">）与</w:t>
      </w:r>
      <w:r>
        <w:t xml:space="preserve"> </w:t>
      </w:r>
      <w:r>
        <w:rPr>
          <w:rFonts w:hint="eastAsia"/>
          <w:b/>
          <w:bCs/>
        </w:rPr>
        <w:t xml:space="preserve">共享的输入母线电容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  <w:b/>
          <w:bCs/>
        </w:rPr>
        <w:t xml:space="preserve">、输出母线电容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正端、各相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相开关节点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的阳极三者相连）；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（各相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负端、各相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各元件管脚连接（对第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相）：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一端接节点①、另一端接节点②_i；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接相位错开</w:t>
      </w:r>
      <w: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的驱动信号、漏极</w:t>
      </w:r>
      <w:r>
        <w:t xml:space="preserve"> D </w:t>
      </w:r>
      <w:r>
        <w:rPr>
          <w:rFonts w:hint="eastAsia"/>
        </w:rPr>
        <w:t xml:space="preserve">接节点②_i、源极</w:t>
      </w:r>
      <w:r>
        <w:t xml:space="preserve"> S </w:t>
      </w:r>
      <w:r>
        <w:rPr>
          <w:rFonts w:hint="eastAsia"/>
        </w:rPr>
        <w:t xml:space="preserve">接节点④；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阳极接节点②_i、阴极接节点③；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一端接节点①、另一端接节点④；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由此构成各相开关以</w:t>
      </w:r>
      <w: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相位交错驱动、共享输入与输出母线的”交错并联</w:t>
      </w:r>
      <w:r>
        <w:t xml:space="preserve"> </w:t>
      </w:r>
      <w:r>
        <w:rPr>
          <w:rFonts w:hint="eastAsia"/>
        </w:rPr>
        <w:t xml:space="preserve">Boost”组态（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），通过纹波抵消把等效纹波频率提高到</w:t>
      </w:r>
      <w: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/>
        </w:rPr>
        <w:t xml:space="preserve">、把单相电流应力降到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，广泛用于</w:t>
      </w:r>
      <w:r>
        <w:t xml:space="preserve"> CPU/GPU </w:t>
      </w:r>
      <w:r>
        <w:rPr>
          <w:rFonts w:hint="eastAsia"/>
        </w:rPr>
        <w:t xml:space="preserve">供电、汽车电源等大电流升压场合。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各相开关相位错开，使各相输入电流纹波在时间上相互叠加时部分相互抵消；当占空比满足纹波抵消条件时，输入与输出纹波幅值显著减小、等效纹波频率升高为</w:t>
      </w:r>
      <w: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/>
        </w:rPr>
        <w:t xml:space="preserve">。整体功率由各相均分，单相器件仅承担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的电流。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单相升压比：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每相平均电感电流：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每相电感电流纹波：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总输入电流纹波（纹波抵消后）：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BlockText"/>
      </w:pPr>
      <w:r>
        <w:rPr>
          <w:rFonts w:hint="eastAsia"/>
        </w:rPr>
        <w:t xml:space="preserve">该式在</w:t>
      </w:r>
      <w:r>
        <w:t xml:space="preserve"> </w:t>
      </w:r>
      <w:r>
        <w:rPr>
          <w:b/>
          <w:bCs/>
        </w:rPr>
        <w:t xml:space="preserve">CCM</w:t>
      </w:r>
      <w:r>
        <w:t xml:space="preserve">、</w:t>
      </w:r>
      <w:r>
        <w:rPr>
          <w:rFonts w:hint="eastAsia"/>
          <w:b/>
          <w:bCs/>
        </w:rPr>
        <w:t xml:space="preserve">理想开关</w:t>
      </w:r>
      <w:r>
        <w:rPr>
          <w:rFonts w:hint="eastAsia"/>
        </w:rPr>
        <w:t xml:space="preserve">，且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时成立；当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时，须对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取绝对值，或按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落在各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区间分段取值。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纹波抵消最佳占空比：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每相电感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单相开关频率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输出总电流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输入电流纹波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相数</w:t>
      </w:r>
      <w:r>
        <w:rPr>
          <w:b/>
          <w:bCs/>
        </w:rPr>
        <w:t xml:space="preserve"> 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纹波抵消更强、单相电流应力更低，但成本与复杂度上升。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各相电感一致性</w:t>
      </w:r>
      <w:r>
        <w:t xml:space="preserve"> </w:t>
      </w:r>
      <w:r>
        <w:t xml:space="preserve">→ </w:t>
      </w:r>
      <w:r>
        <w:rPr>
          <w:rFonts w:hint="eastAsia"/>
        </w:rPr>
        <w:t xml:space="preserve">一致则均流与纹波抵消良好，不一致则电流失衡、抵消退化。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纹波与磁件减小，开关损耗增大。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占空比偏离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→ </w:t>
      </w:r>
      <w:r>
        <w:rPr>
          <w:rFonts w:hint="eastAsia"/>
        </w:rPr>
        <w:t xml:space="preserve">纹波抵消效果变差，输入/输出电容需相应加大。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控制方式（峰值/平均电流模式）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决定各相均流能力与动态响应。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12</m:t>
            </m:r>
          </m:num>
          <m:den>
            <m:r>
              <m:t>48</m:t>
            </m:r>
          </m:den>
        </m:f>
        <m:r>
          <m:rPr>
            <m:sty m:val="p"/>
          </m:rPr>
          <m:t>=</m:t>
        </m:r>
        <m:r>
          <m:t>0.75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4 </w:t>
      </w:r>
      <w:r>
        <w:rPr>
          <w:rFonts w:hint="eastAsia"/>
        </w:rPr>
        <w:t xml:space="preserve">相、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400</m:t>
        </m:r>
        <m:r>
          <m:t> </m:t>
        </m:r>
        <m:r>
          <m:rPr>
            <m:nor/>
            <m:sty m:val="p"/>
          </m:rPr>
          <m:t>kHz</m:t>
        </m:r>
        <m:r>
          <m:rPr>
            <m:sty m:val="p"/>
          </m:rPr>
          <m:t>=</m:t>
        </m:r>
        <m:r>
          <m:t>1.6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；</w:t>
      </w:r>
      <m:oMath>
        <m:r>
          <m:t>D</m:t>
        </m:r>
        <m:r>
          <m:rPr>
            <m:sty m:val="p"/>
          </m:rPr>
          <m:t>=</m:t>
        </m:r>
        <m:r>
          <m:t>0.75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rPr>
          <w:rFonts w:hint="eastAsia"/>
        </w:rPr>
        <w:t xml:space="preserve">恰好处于最佳抵消点。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多相控制器：LTC3862、TPS40170、IR35204</w:t>
      </w:r>
      <w:r>
        <w:t xml:space="preserve"> </w:t>
      </w:r>
      <w:r>
        <w:rPr>
          <w:rFonts w:hint="eastAsia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各相布局与器件参数需严格对称，否则均流失衡导致单相过热。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交错相位由控制器保证，需核对驱动时序与占空比较准。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输入侧纹波抵消依赖于精确的占空比与相移，设计工况偏离时需重新核算纹波。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均流不良时需外加均流环（如采样各相电流做抖频/补偿）。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TI TPS40170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7"/>
        </w:numPr>
      </w:pPr>
      <w:r>
        <w:t xml:space="preserve">ADI LTC3862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交错并联Boost电路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交错并联Boost电路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