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uck-电路"/>
    <w:p>
      <w:pPr>
        <w:pStyle w:val="Heading1"/>
      </w:pPr>
      <w:r>
        <w:rPr>
          <w:rFonts w:hint="eastAsia"/>
        </w:rPr>
        <w:t xml:space="preserve">非同步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一个续流二极管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一个储能电感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一个输出电容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组成的降压型</w:t>
      </w:r>
      <w:r>
        <w:t xml:space="preserve"> DC-DC </w:t>
      </w:r>
      <w:r>
        <w:rPr>
          <w:rFonts w:hint="eastAsia"/>
        </w:rPr>
        <w:t xml:space="preserve">开关电源。电路共有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阳极接节点④、阴极接节点②；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串接在输入与开关节点、续流二极管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跨接在开关节点与地之间、电感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到输出、输出电容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与负载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并联在输出与地之间”的非同步</w:t>
      </w:r>
      <w:r>
        <w:t xml:space="preserve"> Buck </w:t>
      </w:r>
      <w:r>
        <w:rPr>
          <w:rFonts w:hint="eastAsia"/>
        </w:rPr>
        <w:t xml:space="preserve">降压组态，把较高直流输入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降为较低稳定输出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，由二极管（被动）续流而得名”非同步”。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开关周期</w:t>
      </w:r>
      <w:r>
        <w:t xml:space="preserve"> T </w:t>
      </w:r>
      <w:r>
        <w:rPr>
          <w:rFonts w:hint="eastAsia"/>
        </w:rPr>
        <w:t xml:space="preserve">内，开关管导通时电流经电感流向输出并给电感储能，二极管反偏截止；开关管关断时电感电流经续流二极管续流，维持输出电流连续。电感的伏秒平衡使输出电压恒等于输入电压与占空比的乘积。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电感纹波电流（开关管导通期间）：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临界（连续/断续）电感：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R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交流直流传递比（CCM）：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减小，更易进入</w:t>
      </w:r>
      <w:r>
        <w:t xml:space="preserve"> </w:t>
      </w:r>
      <w:r>
        <w:rPr>
          <w:rFonts w:hint="eastAsia"/>
        </w:rPr>
        <w:t xml:space="preserve">CCM，暂态响应变慢。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输出电压纹波减小，但暂态响应与启动时间变慢。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输出电压升高；D</w:t>
      </w:r>
      <w:r>
        <w:t xml:space="preserve"> </w:t>
      </w:r>
      <w:r>
        <w:rPr>
          <w:rFonts w:hint="eastAsia"/>
        </w:rPr>
        <w:t xml:space="preserve">受限于输出电压小于输入电压。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所需的</w:t>
      </w:r>
      <w:r>
        <w:t xml:space="preserve"> L、C </w:t>
      </w:r>
      <w:r>
        <w:rPr>
          <w:rFonts w:hint="eastAsia"/>
        </w:rPr>
        <w:t xml:space="preserve">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二极管压降较大时效率降低，轻载或低压大电流场合常用同步整流。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、要求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0.417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0.58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开关管：IRF540N、SI2302、CSD18504。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续流二极管（肖特基）：SS34、MBR0540、SS56。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IC：LM2596、TPS5430、MP1584。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</w:t>
      </w:r>
      <w:r>
        <w:t xml:space="preserve"> D </w:t>
      </w:r>
      <w:r>
        <w:rPr>
          <w:rFonts w:hint="eastAsia"/>
        </w:rPr>
        <w:t xml:space="preserve">受最小导通时间与最大占空比限制，输入输出压差不能太小。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续流二极管反向恢复与正向压降影响效率，需选用肖特基或快恢复二极管。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电感必须不饱和，额定电流应大于平均电流与纹波电流之和的一半。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输入输出需就近加去耦电容，减小开关时的电压尖峰与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SLVA477（Buck</w:t>
      </w:r>
      <w:r>
        <w:t xml:space="preserve"> </w:t>
      </w:r>
      <w:r>
        <w:rPr>
          <w:rFonts w:hint="eastAsia"/>
        </w:rPr>
        <w:t xml:space="preserve">电路设计）。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非同步Buck电路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