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四开关-buck-boost-电路"/>
    <w:p>
      <w:pPr>
        <w:pStyle w:val="Heading1"/>
      </w:pPr>
      <w:r>
        <w:rPr>
          <w:rFonts w:hint="eastAsia"/>
        </w:rPr>
        <w:t xml:space="preserve">四开关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四个开关管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构成的全桥式升降压变换电路。电路共有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输入侧桥臂中点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输出侧桥臂中点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接节点⑤；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接节点④、源极</w:t>
      </w:r>
      <w:r>
        <w:t xml:space="preserve"> S </w:t>
      </w:r>
      <w:r>
        <w:rPr>
          <w:rFonts w:hint="eastAsia"/>
        </w:rPr>
        <w:t xml:space="preserve">接节点③；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接节点⑤；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一端接节点④、另一端接节点⑤。</w:t>
      </w:r>
    </w:p>
    <w:p>
      <w:pPr/>
      <w:r>
        <w:rPr>
          <w:rFonts w:hint="eastAsia"/>
        </w:rPr>
        <w:t xml:space="preserve">由此构成”输入侧半桥（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）与输出侧半桥（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跨接在各自桥臂中点之间”的四开关</w:t>
      </w:r>
      <w:r>
        <w:t xml:space="preserve"> Buck-Boost </w:t>
      </w:r>
      <w:r>
        <w:rPr>
          <w:rFonts w:hint="eastAsia"/>
        </w:rPr>
        <w:t xml:space="preserve">组态，四个开关均受控以双向传输能量，按</w:t>
      </w:r>
      <w:r>
        <w:t xml:space="preserve"> Buck </w:t>
      </w:r>
      <w:r>
        <w:rPr>
          <w:rFonts w:hint="eastAsia"/>
        </w:rPr>
        <w:t xml:space="preserve">模式、Boost</w:t>
      </w:r>
      <w:r>
        <w:t xml:space="preserve"> </w:t>
      </w:r>
      <w:r>
        <w:rPr>
          <w:rFonts w:hint="eastAsia"/>
        </w:rPr>
        <w:t xml:space="preserve">模式或过渡模式切换使输出电压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可高于、等于或低于输入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，广泛用于电池供电中输入电压宽范围波动的单向升降压场合。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电路在</w:t>
      </w:r>
      <w:r>
        <w:t xml:space="preserve"> Buck </w:t>
      </w:r>
      <w:r>
        <w:rPr>
          <w:rFonts w:hint="eastAsia"/>
        </w:rPr>
        <w:t xml:space="preserve">模式、Boost</w:t>
      </w:r>
      <w:r>
        <w:t xml:space="preserve"> </w:t>
      </w:r>
      <w:r>
        <w:rPr>
          <w:rFonts w:hint="eastAsia"/>
        </w:rPr>
        <w:t xml:space="preserve">模式及</w:t>
      </w:r>
      <w:r>
        <w:t xml:space="preserve"> Buck-Boost </w:t>
      </w:r>
      <w:r>
        <w:rPr>
          <w:rFonts w:hint="eastAsia"/>
        </w:rPr>
        <w:t xml:space="preserve">过渡模式间切换：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时工作于降压，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时工作于升压，两者接近时进入四管同时开关的混合模式以实现平滑过渡。通过控制各开关占空比分配，电感在一个周期内交替连接输入与输出，将能量从输入传向输出。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，Q3</w:t>
      </w:r>
      <w:r>
        <w:t xml:space="preserve"> </w:t>
      </w:r>
      <w:r>
        <w:rPr>
          <w:rFonts w:hint="eastAsia"/>
        </w:rPr>
        <w:t xml:space="preserve">常通、Q4</w:t>
      </w:r>
      <w:r>
        <w:t xml:space="preserve"> </w:t>
      </w:r>
      <w:r>
        <w:rPr>
          <w:rFonts w:hint="eastAsia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b</m:t>
              </m:r>
              <m:r>
                <m:t>u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Boost </w:t>
      </w:r>
      <w:r>
        <w:rPr>
          <w:rFonts w:hint="eastAsia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，Q1</w:t>
      </w:r>
      <w:r>
        <w:t xml:space="preserve"> </w:t>
      </w:r>
      <w:r>
        <w:rPr>
          <w:rFonts w:hint="eastAsia"/>
        </w:rPr>
        <w:t xml:space="preserve">常通、Q2</w:t>
      </w:r>
      <w:r>
        <w:t xml:space="preserve"> </w:t>
      </w:r>
      <w:r>
        <w:rPr>
          <w:rFonts w:hint="eastAsia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统一关系（过渡区，用两占空比）：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</m:oMath>
      <w:r>
        <w:t xml:space="preserve">、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/>
        </w:rPr>
        <w:t xml:space="preserve">为输入/输出两侧有效占空比。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电感电流纹波（Buck</w:t>
      </w:r>
      <w:r>
        <w:t xml:space="preserve"> </w:t>
      </w:r>
      <w:r>
        <w:rPr>
          <w:rFonts w:hint="eastAsia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电感电流纹波（Boost</w:t>
      </w:r>
      <w:r>
        <w:t xml:space="preserve"> </w:t>
      </w:r>
      <w:r>
        <w:rPr>
          <w:rFonts w:hint="eastAsia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Buck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Boost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四个开关均低导通电阻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效率高；但四管架构下每个周期能量路径元件多，损耗环节多。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纹波减小，但体积增大，四开关下电感需兼顾两种工作模式。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占空比过渡策略</w:t>
      </w:r>
      <w:r>
        <w:t xml:space="preserve"> </w:t>
      </w:r>
      <w:r>
        <w:t xml:space="preserve">→ </w:t>
      </w:r>
      <w:r>
        <w:rPr>
          <w:rFonts w:hint="eastAsia"/>
        </w:rPr>
        <w:t xml:space="preserve">平滑切换可避免输入/输出纹波与噪声尖峰，硬切会带来较大扰动。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磁件与电容减小，四管开关损耗比例升高。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同步整流（四管均为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效率高于含二极管的方案，但需四路驱动与死区控制。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Buck </w:t>
      </w:r>
      <w:r>
        <w:rPr>
          <w:rFonts w:hint="eastAsia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u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Boost </w:t>
      </w:r>
      <w:r>
        <w:rPr>
          <w:rFonts w:hint="eastAsia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0.583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四开关</w:t>
      </w:r>
      <w:r>
        <w:t xml:space="preserve"> Buck-Boost </w:t>
      </w:r>
      <w:r>
        <w:rPr>
          <w:rFonts w:hint="eastAsia"/>
        </w:rPr>
        <w:t xml:space="preserve">控制器：LT8390、LT8705、TPS55288。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需要四路互补驱动与复杂死区/时序控制，实现门槛高于普通</w:t>
      </w:r>
      <w:r>
        <w:t xml:space="preserve"> Buck </w:t>
      </w:r>
      <w:r>
        <w:rPr>
          <w:rFonts w:hint="eastAsia"/>
        </w:rPr>
        <w:t xml:space="preserve">或</w:t>
      </w:r>
      <w:r>
        <w:t xml:space="preserve"> Boost。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模式切换区（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）是设计难点，需专门的过渡算法避免失控。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若无需反极性，可保证输出正电压；若接反极性需求需注意整流安排。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注意输入输出两端都存在续流，需评估各管的电压与电流应力。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LT8390 / LT8705 </w:t>
      </w:r>
      <w:r>
        <w:rPr>
          <w:rFonts w:hint="eastAsia"/>
        </w:rPr>
        <w:t xml:space="preserve">数据手册（四开关</w:t>
      </w:r>
      <w:r>
        <w:t xml:space="preserve"> </w:t>
      </w:r>
      <w:r>
        <w:rPr>
          <w:rFonts w:hint="eastAsia"/>
        </w:rPr>
        <w:t xml:space="preserve">Buck-Boost）。</w:t>
      </w:r>
    </w:p>
    <w:p>
      <w:pPr>
        <w:pStyle w:val="Compact"/>
        <w:numPr>
          <w:ilvl w:val="0"/>
          <w:numId w:val="1006"/>
        </w:numPr>
      </w:pPr>
      <w:r>
        <w:t xml:space="preserve">TI TPS55288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四开关Buck-Boost电路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