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波整流电路"/>
    <w:p>
      <w:pPr>
        <w:pStyle w:val="Heading1"/>
      </w:pPr>
      <w:r>
        <w:rPr>
          <w:rFonts w:hint="eastAsia"/>
        </w:rPr>
        <w:t xml:space="preserve">全波整流电路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由带中心抽头的变压器</w:t>
      </w:r>
      <w:r>
        <w:t xml:space="preserve"> </w:t>
      </w:r>
      <w:r>
        <w:rPr>
          <w:rFonts w:hint="eastAsia"/>
        </w:rPr>
        <w:t xml:space="preserve">T、两只整流二极管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与负载电阻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T </w:t>
      </w:r>
      <w:r>
        <w:rPr>
          <w:rFonts w:hint="eastAsia"/>
        </w:rPr>
        <w:t xml:space="preserve">初级两端）；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次级上端节点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次级上端与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次级下端节点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次级下端与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中心抽头节点（地）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中心抽头与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一端相连并作为输出参考地）；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阴极与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另一端相连，作为输出电压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的正端）。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T</w:t>
      </w:r>
      <w:r>
        <w:t xml:space="preserve"> </w:t>
      </w:r>
      <w:r>
        <w:rPr>
          <w:rFonts w:hint="eastAsia"/>
        </w:rPr>
        <w:t xml:space="preserve">的初级两端接交流输入节点，次级上端接次级上端节点、次级下端接次级下端节点、中心抽头接中心抽头节点（接地）；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阳极接次级上端节点、阴极接输出节点；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阳极接次级下端节点、阴极接输出节点；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一端接输出节点、另一端接中心抽头节点。</w:t>
      </w:r>
    </w:p>
    <w:p>
      <w:pPr/>
      <w:r>
        <w:rPr>
          <w:rFonts w:hint="eastAsia"/>
        </w:rPr>
        <w:t xml:space="preserve">由此构成”变压器副边中心抽头、两二极管分别接副边两端且阴极共接、负载接于输出与中心抽头之间”的中心抽头全波整流组态；正半周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导通、负半周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导通，两个半周均向负载送同一方向电流，输出直流平均值约为峰值电压的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rPr>
          <w:rFonts w:hint="eastAsia"/>
        </w:rPr>
        <w:t xml:space="preserve">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正半周时上半个绕组感应的电压使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截止；负半周时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导通、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截止。两半绕组交替工作，使负载在正负半周都得到同一方向的脉动电流，实现全波整流。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输出平均（直流）电压：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0.637</m:t>
          </m:r>
          <m:r>
            <m:t> 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输出平均电流：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输出有效值：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纹波因数：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≈</m:t>
          </m:r>
          <m:r>
            <m:t>0.483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二极管反向峰值电压：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副边半绕组峰值电压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输出直流平均电压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I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输出电流减小，直流平均值基本不变。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副边电压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、PIV </w:t>
      </w:r>
      <w:r>
        <w:rPr>
          <w:rFonts w:hint="eastAsia"/>
        </w:rPr>
        <w:t xml:space="preserve">成比例增大。</w:t>
      </w:r>
    </w:p>
    <w:p>
      <w:pPr>
        <w:pStyle w:val="Compact"/>
        <w:numPr>
          <w:ilvl w:val="0"/>
          <w:numId w:val="1002"/>
        </w:numPr>
      </w:pPr>
      <w:r>
        <w:t xml:space="preserve">PIV </w:t>
      </w:r>
      <w:r>
        <w:rPr>
          <w:rFonts w:hint="eastAsia"/>
        </w:rPr>
        <w:t xml:space="preserve">为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，是桥式（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）的两倍，二极管耐压要求更高。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变压器副边需中心抽头，两半绕组严格对称以抑制纹波。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（半绕组峰值）、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17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10.82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≈</m:t>
        </m:r>
        <m:r>
          <m:t>10.82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：二极管</w:t>
      </w:r>
      <w:r>
        <w:t xml:space="preserve"> PIV = 34 </w:t>
      </w:r>
      <w:r>
        <w:rPr>
          <w:rFonts w:hint="eastAsia"/>
        </w:rPr>
        <w:t xml:space="preserve">V，选反向耐压</w:t>
      </w:r>
      <w:r>
        <w:t xml:space="preserve"> ≥ 100 V </w:t>
      </w:r>
      <w:r>
        <w:rPr>
          <w:rFonts w:hint="eastAsia"/>
        </w:rPr>
        <w:t xml:space="preserve">的二极管。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二极管：1N4007、1N5408、MUR</w:t>
      </w:r>
      <w:r>
        <w:t xml:space="preserve"> </w:t>
      </w:r>
      <w:r>
        <w:rPr>
          <w:rFonts w:hint="eastAsia"/>
        </w:rPr>
        <w:t xml:space="preserve">系列、共阴极双二极管</w:t>
      </w:r>
      <w:r>
        <w:t xml:space="preserve"> MBR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变压器：带中心抽头的工频变压器（定制或标准品）。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二极管反向耐压须</w:t>
      </w:r>
      <w:r>
        <w:t xml:space="preserve"> ≥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并留裕量。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变压器副边中心抽头两绕组需对称，否则输出含不平衡纹波。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每个二极管只承受半个周期电流，利用率低于独立全波。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相比桥式，少两个二极管、压降更小，但变压器更复杂。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Rectifier / Full-wave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全波整流电路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全波整流电路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