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电源自动切换电路"/>
    <w:p>
      <w:pPr>
        <w:pStyle w:val="Heading1"/>
      </w:pPr>
      <w:r>
        <w:rPr>
          <w:rFonts w:hint="eastAsia"/>
        </w:rPr>
        <w:t xml:space="preserve">双电源自动切换电路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本电路由两路输入电源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、两只开关器件（二极管</w:t>
      </w:r>
      <w:r>
        <w:t xml:space="preserve"> D1、D2 </w:t>
      </w:r>
      <w:r>
        <w:rPr>
          <w:rFonts w:hint="eastAsia"/>
        </w:rPr>
        <w:t xml:space="preserve">或</w:t>
      </w:r>
      <w:r>
        <w:t xml:space="preserve"> MOSFET </w:t>
      </w:r>
      <w:r>
        <w:rPr>
          <w:rFonts w:hint="eastAsia"/>
        </w:rPr>
        <w:t xml:space="preserve">Q1、Q2）以及由比较器构成的切换控制逻辑（编号</w:t>
      </w:r>
      <w:r>
        <w:t xml:space="preserve"> </w:t>
      </w:r>
      <w:r>
        <w:rPr>
          <w:rFonts w:hint="eastAsia"/>
        </w:rPr>
        <w:t xml:space="preserve">IC1）组成。关键节点有：主电源输入节点</w:t>
      </w:r>
      <w:r>
        <w:t xml:space="preserve"> </w:t>
      </w:r>
      <w:r>
        <w:rPr>
          <w:rFonts w:hint="eastAsia"/>
        </w:rPr>
        <w:t xml:space="preserve">V1、备用电源输入节点</w:t>
      </w:r>
      <w:r>
        <w:t xml:space="preserve"> </w:t>
      </w:r>
      <w:r>
        <w:rPr>
          <w:rFonts w:hint="eastAsia"/>
        </w:rPr>
        <w:t xml:space="preserve">V2、两路汇合后的输出节点</w:t>
      </w:r>
      <w:r>
        <w:t xml:space="preserve"> </w:t>
      </w:r>
      <w:r>
        <w:rPr>
          <w:rFonts w:hint="eastAsia"/>
        </w:rPr>
        <w:t xml:space="preserve">OUT，以及公共地节点</w:t>
      </w:r>
      <w:r>
        <w:t xml:space="preserve"> </w:t>
      </w:r>
      <w:r>
        <w:rPr>
          <w:rFonts w:hint="eastAsia"/>
        </w:rPr>
        <w:t xml:space="preserve">GND。两只开关器件的输出端在节点</w:t>
      </w:r>
      <w:r>
        <w:t xml:space="preserve"> OUT </w:t>
      </w:r>
      <w:r>
        <w:rPr>
          <w:rFonts w:hint="eastAsia"/>
        </w:rPr>
        <w:t xml:space="preserve">处并联汇流，为负载供电。</w:t>
      </w:r>
    </w:p>
    <w:p>
      <w:pPr/>
      <w:r>
        <w:rPr>
          <w:rFonts w:hint="eastAsia"/>
        </w:rPr>
        <w:t xml:space="preserve">各元件管脚连接：以二极管</w:t>
      </w:r>
      <w:r>
        <w:t xml:space="preserve"> OR </w:t>
      </w:r>
      <w:r>
        <w:rPr>
          <w:rFonts w:hint="eastAsia"/>
        </w:rPr>
        <w:t xml:space="preserve">方案为例，二极管</w:t>
      </w:r>
      <w:r>
        <w:t xml:space="preserve"> D1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V1、阴极接输出节点</w:t>
      </w:r>
      <w:r>
        <w:t xml:space="preserve"> </w:t>
      </w:r>
      <w:r>
        <w:rPr>
          <w:rFonts w:hint="eastAsia"/>
        </w:rPr>
        <w:t xml:space="preserve">OUT；D2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V2、阴极接节点</w:t>
      </w:r>
      <w:r>
        <w:t xml:space="preserve"> </w:t>
      </w:r>
      <w:r>
        <w:rPr>
          <w:rFonts w:hint="eastAsia"/>
        </w:rPr>
        <w:t xml:space="preserve">OUT，二者构成”或”接法，输出取自电压较高的一路。以</w:t>
      </w:r>
      <w:r>
        <w:t xml:space="preserve"> MOSFET </w:t>
      </w:r>
      <w:r>
        <w:rPr>
          <w:rFonts w:hint="eastAsia"/>
        </w:rPr>
        <w:t xml:space="preserve">理想二极管方案为例，Q1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V1、漏极接</w:t>
      </w:r>
      <w:r>
        <w:t xml:space="preserve"> </w:t>
      </w:r>
      <w:r>
        <w:rPr>
          <w:rFonts w:hint="eastAsia"/>
        </w:rPr>
        <w:t xml:space="preserve">OUT、栅极由</w:t>
      </w:r>
      <w:r>
        <w:t xml:space="preserve"> IC1 </w:t>
      </w:r>
      <w:r>
        <w:rPr>
          <w:rFonts w:hint="eastAsia"/>
        </w:rPr>
        <w:t xml:space="preserve">驱动；Q2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V2、漏极接</w:t>
      </w:r>
      <w:r>
        <w:t xml:space="preserve"> </w:t>
      </w:r>
      <w:r>
        <w:rPr>
          <w:rFonts w:hint="eastAsia"/>
        </w:rPr>
        <w:t xml:space="preserve">OUT、栅极由</w:t>
      </w:r>
      <w:r>
        <w:t xml:space="preserve"> IC1 </w:t>
      </w:r>
      <w:r>
        <w:rPr>
          <w:rFonts w:hint="eastAsia"/>
        </w:rPr>
        <w:t xml:space="preserve">驱动。IC1</w:t>
      </w:r>
      <w:r>
        <w:t xml:space="preserve"> </w:t>
      </w:r>
      <w:r>
        <w:rPr>
          <w:rFonts w:hint="eastAsia"/>
        </w:rPr>
        <w:t xml:space="preserve">的两个比较输入经分压电阻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分别采样</w:t>
      </w:r>
      <w:r>
        <w:t xml:space="preserve"> V1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V2，其地端接</w:t>
      </w:r>
      <w:r>
        <w:t xml:space="preserve"> </w:t>
      </w:r>
      <w:r>
        <w:rPr>
          <w:rFonts w:hint="eastAsia"/>
        </w:rPr>
        <w:t xml:space="preserve">GND，输出端驱动对应的开关器件，据此判定优先级并控制通断。</w:t>
      </w:r>
    </w:p>
    <w:p>
      <w:pPr/>
      <w:r>
        <w:rPr>
          <w:rFonts w:hint="eastAsia"/>
        </w:rPr>
        <w:t xml:space="preserve">组态上这是一个”双输入、单输出、优先导通”的电源自动切换（PowerPath）组态，监测主电源电压并在掉电时自动切到备用电源、恢复时切回，用于需要冗余供电的设备。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控制逻辑持续监视一路（或两路）输入电压，通过比较器判定优先级；主电源电压高于切换阈值时接通主电源通路，否则关断主电源并接通备用电源，实现自动无缝切换。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输出电压（理想二极管</w:t>
      </w:r>
      <w:r>
        <w:t xml:space="preserve"> OR </w:t>
      </w:r>
      <w:r>
        <w:rPr>
          <w:rFonts w:hint="eastAsia"/>
        </w:rPr>
        <w:t xml:space="preserve">方案）：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切换阈值（电阻分压比较）：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两路输入电压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</w:t>
            </w:r>
            <w:r>
              <w:t xml:space="preserve"> / </w:t>
            </w:r>
            <w:r>
              <w:rPr>
                <w:rFonts w:hint="eastAsia"/>
              </w:rPr>
              <w:t xml:space="preserve">体二极管压降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分压电阻比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切换阈值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输出压降损失越小。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迟滞量设置越大</w:t>
      </w:r>
      <w:r>
        <w:t xml:space="preserve"> → </w:t>
      </w:r>
      <w:r>
        <w:rPr>
          <w:rFonts w:hint="eastAsia"/>
        </w:rPr>
        <w:t xml:space="preserve">抗抖越好、避免在阈值附近反复切换。</w:t>
      </w:r>
    </w:p>
    <w:p>
      <w:pPr>
        <w:pStyle w:val="Compact"/>
        <w:numPr>
          <w:ilvl w:val="0"/>
          <w:numId w:val="1002"/>
        </w:numPr>
      </w:pPr>
      <w:r>
        <w:t xml:space="preserve">MOSFET </w:t>
      </w:r>
      <w:r>
        <w:rPr>
          <w:rFonts w:hint="eastAsia"/>
        </w:rPr>
        <w:t xml:space="preserve">替代二极管可极大降低导通压降（理想二极管）。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两路</w:t>
      </w:r>
      <w:r>
        <w:t xml:space="preserve"> 5 V </w:t>
      </w:r>
      <w:r>
        <w:rPr>
          <w:rFonts w:hint="eastAsia"/>
        </w:rPr>
        <w:t xml:space="preserve">与</w:t>
      </w:r>
      <w:r>
        <w:t xml:space="preserve"> 3.3 </w:t>
      </w:r>
      <w:r>
        <w:rPr>
          <w:rFonts w:hint="eastAsia"/>
        </w:rPr>
        <w:t xml:space="preserve">V、肖特基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理想二极管</w:t>
      </w:r>
      <w:r>
        <w:t xml:space="preserve"> / POWERPATH </w:t>
      </w:r>
      <w:r>
        <w:rPr>
          <w:rFonts w:hint="eastAsia"/>
        </w:rPr>
        <w:t xml:space="preserve">IC：LTC4417、TPS2120。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比较器：LM393、TLV1702。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MOSFET：AO3401（P</w:t>
      </w:r>
      <w:r>
        <w:t xml:space="preserve"> </w:t>
      </w:r>
      <w:r>
        <w:rPr>
          <w:rFonts w:hint="eastAsia"/>
        </w:rPr>
        <w:t xml:space="preserve">沟道）、Si2301。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切换瞬间可能产生跌落或毛刺，需评估后级掉电影响并加储能电容。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采用比较器方案应设迟滞，防止阈值附近振荡。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两路电源若电压接近，需明确优先级逻辑，避免竞争。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方案注意体二极管方向，防止倒灌电流。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Automatic transfer switch。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TPS2120（自动切换）。</w:t>
      </w:r>
    </w:p>
    <w:p>
      <w:pPr>
        <w:pStyle w:val="Compact"/>
        <w:numPr>
          <w:ilvl w:val="0"/>
          <w:numId w:val="1006"/>
        </w:numPr>
      </w:pPr>
      <w:r>
        <w:t xml:space="preserve">Linear Technology(ADI) LTC4417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双电源自动切换电路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双电源自动切换电路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