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7" w:name="与非门电路"/>
    <w:p>
      <w:pPr>
        <w:pStyle w:val="Heading1"/>
      </w:pPr>
      <w:r>
        <w:rPr>
          <w:rFonts w:hint="eastAsia"/>
        </w:rPr>
        <w:t xml:space="preserve">与非门电路</w:t>
      </w:r>
    </w:p>
    <w:bookmarkStart w:id="19" w:name="拓扑描述"/>
    <w:p>
      <w:pPr>
        <w:pStyle w:val="Heading2"/>
      </w:pPr>
      <w:r>
        <w:rPr>
          <w:rFonts w:hint="eastAsia"/>
        </w:rPr>
        <w:t xml:space="preserve">拓扑描述</w:t>
      </w:r>
    </w:p>
    <w:p>
      <w:pPr>
        <w:pStyle w:val="FirstParagraph"/>
      </w:pPr>
      <w:r>
        <w:rPr>
          <w:rFonts w:hint="eastAsia"/>
        </w:rPr>
        <w:t xml:space="preserve">由</w:t>
      </w:r>
      <w:r>
        <w:rPr>
          <w:rFonts w:hint="eastAsia"/>
          <w:b/>
          <w:bCs/>
        </w:rPr>
        <w:t xml:space="preserve">一个二输入与门</w:t>
      </w:r>
      <w:r>
        <w:rPr>
          <w:b/>
          <w:bCs/>
        </w:rPr>
        <w:t xml:space="preserve"> A1</w:t>
      </w:r>
      <w:r>
        <w:t xml:space="preserve"> </w:t>
      </w:r>
      <w:r>
        <w:rPr>
          <w:rFonts w:hint="eastAsia"/>
        </w:rPr>
        <w:t xml:space="preserve">与</w:t>
      </w:r>
      <w:r>
        <w:rPr>
          <w:rFonts w:hint="eastAsia"/>
          <w:b/>
          <w:bCs/>
        </w:rPr>
        <w:t xml:space="preserve">一个非门</w:t>
      </w:r>
      <w:r>
        <w:rPr>
          <w:b/>
          <w:bCs/>
        </w:rPr>
        <w:t xml:space="preserve"> A2</w:t>
      </w:r>
      <w:r>
        <w:t xml:space="preserve"> </w:t>
      </w:r>
      <w:r>
        <w:rPr>
          <w:rFonts w:hint="eastAsia"/>
        </w:rPr>
        <w:t xml:space="preserve">级联组成，实现”先与后非”。电路共有</w:t>
      </w:r>
      <w:r>
        <w:t xml:space="preserve"> 4 </w:t>
      </w:r>
      <w:r>
        <w:rPr>
          <w:rFonts w:hint="eastAsia"/>
        </w:rPr>
        <w:t xml:space="preserve">个关键节点：</w:t>
      </w:r>
      <w:r>
        <w:rPr>
          <w:rFonts w:hint="eastAsia"/>
          <w:b/>
          <w:bCs/>
        </w:rPr>
        <w:t xml:space="preserve">节点①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A</w:t>
      </w:r>
      <w:r>
        <w:rPr>
          <w:rFonts w:hint="eastAsia"/>
        </w:rPr>
        <w:t xml:space="preserve">（外部输入信号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端相连）；</w:t>
      </w:r>
      <w:r>
        <w:rPr>
          <w:rFonts w:hint="eastAsia"/>
          <w:b/>
          <w:bCs/>
        </w:rPr>
        <w:t xml:space="preserve">节点②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输入节点</w:t>
      </w:r>
      <w:r>
        <w:rPr>
          <w:b/>
          <w:bCs/>
        </w:rPr>
        <w:t xml:space="preserve"> B</w:t>
      </w:r>
      <w:r>
        <w:rPr>
          <w:rFonts w:hint="eastAsia"/>
        </w:rPr>
        <w:t xml:space="preserve">（外部输入信号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与</w:t>
      </w:r>
      <w:r>
        <w:t xml:space="preserve"> A1 </w:t>
      </w:r>
      <w:r>
        <w:rPr>
          <w:rFonts w:hint="eastAsia"/>
        </w:rPr>
        <w:t xml:space="preserve">的</w:t>
      </w:r>
      <w:r>
        <w:t xml:space="preserve"> B </w:t>
      </w:r>
      <w:r>
        <w:rPr>
          <w:rFonts w:hint="eastAsia"/>
        </w:rPr>
        <w:t xml:space="preserve">端相连）；</w:t>
      </w:r>
      <w:r>
        <w:rPr>
          <w:rFonts w:hint="eastAsia"/>
          <w:b/>
          <w:bCs/>
        </w:rPr>
        <w:t xml:space="preserve">节点③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中间节点</w:t>
      </w:r>
      <w:r>
        <w:rPr>
          <w:b/>
          <w:bCs/>
        </w:rPr>
        <w:t xml:space="preserve"> S</w:t>
      </w:r>
      <w:r>
        <w:rPr>
          <w:rFonts w:hint="eastAsia"/>
        </w:rPr>
        <w:t xml:space="preserve">（A1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Y </w:t>
      </w:r>
      <w:r>
        <w:rPr>
          <w:rFonts w:hint="eastAsia"/>
        </w:rPr>
        <w:t xml:space="preserve">与</w:t>
      </w:r>
      <w:r>
        <w:t xml:space="preserve"> A2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端相连，携带内积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B</m:t>
        </m:r>
      </m:oMath>
      <w:r>
        <w:rPr>
          <w:rFonts w:hint="eastAsia"/>
        </w:rPr>
        <w:t xml:space="preserve">）；</w:t>
      </w:r>
      <w:r>
        <w:rPr>
          <w:rFonts w:hint="eastAsia"/>
          <w:b/>
          <w:bCs/>
        </w:rPr>
        <w:t xml:space="preserve">节点④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输出节点</w:t>
      </w:r>
      <w:r>
        <w:rPr>
          <w:b/>
          <w:bCs/>
        </w:rPr>
        <w:t xml:space="preserve"> Y</w:t>
      </w:r>
      <w:r>
        <w:rPr>
          <w:rFonts w:hint="eastAsia"/>
        </w:rPr>
        <w:t xml:space="preserve">（A2</w:t>
      </w:r>
      <w:r>
        <w:t xml:space="preserve"> </w:t>
      </w:r>
      <w:r>
        <w:rPr>
          <w:rFonts w:hint="eastAsia"/>
        </w:rPr>
        <w:t xml:space="preserve">的输出</w:t>
      </w:r>
      <w:r>
        <w:t xml:space="preserve"> Y </w:t>
      </w:r>
      <w:r>
        <w:rPr>
          <w:rFonts w:hint="eastAsia"/>
        </w:rPr>
        <w:t xml:space="preserve">作为电路输出，携带</w:t>
      </w:r>
      <w:r>
        <w:t xml:space="preserve"> </w:t>
      </w:r>
      <m:oMath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e>
        </m:bar>
      </m:oMath>
      <w:r>
        <w:rPr>
          <w:rFonts w:hint="eastAsia"/>
        </w:rPr>
        <w:t xml:space="preserve">）。</w:t>
      </w:r>
    </w:p>
    <w:p>
      <w:pPr/>
      <w:r>
        <w:rPr>
          <w:rFonts w:hint="eastAsia"/>
        </w:rPr>
        <w:t xml:space="preserve">各门管脚连接：</w:t>
      </w:r>
      <w:r>
        <w:rPr>
          <w:rFonts w:hint="eastAsia"/>
          <w:b/>
          <w:bCs/>
        </w:rPr>
        <w:t xml:space="preserve">A1（与门）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端接输入节点</w:t>
      </w:r>
      <w:r>
        <w:t xml:space="preserve"> A、B </w:t>
      </w:r>
      <w:r>
        <w:rPr>
          <w:rFonts w:hint="eastAsia"/>
        </w:rPr>
        <w:t xml:space="preserve">端接输入节点</w:t>
      </w:r>
      <w:r>
        <w:t xml:space="preserve"> </w:t>
      </w:r>
      <w:r>
        <w:rPr>
          <w:rFonts w:hint="eastAsia"/>
        </w:rPr>
        <w:t xml:space="preserve">B、输出</w:t>
      </w:r>
      <w:r>
        <w:t xml:space="preserve"> Y </w:t>
      </w:r>
      <w:r>
        <w:rPr>
          <w:rFonts w:hint="eastAsia"/>
        </w:rPr>
        <w:t xml:space="preserve">端接中间节点</w:t>
      </w:r>
      <w:r>
        <w:t xml:space="preserve"> </w:t>
      </w:r>
      <w:r>
        <w:rPr>
          <w:rFonts w:hint="eastAsia"/>
        </w:rPr>
        <w:t xml:space="preserve">S，正电源脚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、接地脚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GND；</w:t>
      </w:r>
      <w:r>
        <w:rPr>
          <w:rFonts w:hint="eastAsia"/>
          <w:b/>
          <w:bCs/>
        </w:rPr>
        <w:t xml:space="preserve">A2（非门）</w:t>
      </w:r>
      <w:r>
        <w:t xml:space="preserve"> </w:t>
      </w:r>
      <w:r>
        <w:rPr>
          <w:rFonts w:hint="eastAsia"/>
        </w:rPr>
        <w:t xml:space="preserve">的</w:t>
      </w:r>
      <w:r>
        <w:t xml:space="preserve"> A </w:t>
      </w:r>
      <w:r>
        <w:rPr>
          <w:rFonts w:hint="eastAsia"/>
        </w:rPr>
        <w:t xml:space="preserve">端（输入端）接中间节点</w:t>
      </w:r>
      <w:r>
        <w:t xml:space="preserve"> </w:t>
      </w:r>
      <w:r>
        <w:rPr>
          <w:rFonts w:hint="eastAsia"/>
        </w:rPr>
        <w:t xml:space="preserve">S、输出</w:t>
      </w:r>
      <w:r>
        <w:t xml:space="preserve"> Y </w:t>
      </w:r>
      <w:r>
        <w:rPr>
          <w:rFonts w:hint="eastAsia"/>
        </w:rPr>
        <w:t xml:space="preserve">端接输出节点</w:t>
      </w:r>
      <w:r>
        <w:t xml:space="preserve"> </w:t>
      </w:r>
      <w:r>
        <w:rPr>
          <w:rFonts w:hint="eastAsia"/>
        </w:rPr>
        <w:t xml:space="preserve">Y，正电源脚</w:t>
      </w:r>
      <w:r>
        <w:t xml:space="preserve"> VDD </w:t>
      </w:r>
      <w:r>
        <w:rPr>
          <w:rFonts w:hint="eastAsia"/>
        </w:rPr>
        <w:t xml:space="preserve">接</w:t>
      </w:r>
      <w:r>
        <w:t xml:space="preserve"> </w:t>
      </w:r>
      <m:oMath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D</m:t>
            </m:r>
            <m:r>
              <m:t>D</m:t>
            </m:r>
          </m:sub>
        </m:sSub>
      </m:oMath>
      <w:r>
        <w:rPr>
          <w:rFonts w:hint="eastAsia"/>
        </w:rPr>
        <w:t xml:space="preserve">、接地脚</w:t>
      </w:r>
      <w:r>
        <w:t xml:space="preserve"> GND </w:t>
      </w:r>
      <w:r>
        <w:rPr>
          <w:rFonts w:hint="eastAsia"/>
        </w:rPr>
        <w:t xml:space="preserve">接</w:t>
      </w:r>
      <w:r>
        <w:t xml:space="preserve"> </w:t>
      </w:r>
      <w:r>
        <w:rPr>
          <w:rFonts w:hint="eastAsia"/>
        </w:rPr>
        <w:t xml:space="preserve">GND。若以</w:t>
      </w:r>
      <w:r>
        <w:t xml:space="preserve"> TTL </w:t>
      </w:r>
      <w:r>
        <w:rPr>
          <w:rFonts w:hint="eastAsia"/>
        </w:rPr>
        <w:t xml:space="preserve">多发射极晶体管或</w:t>
      </w:r>
      <w:r>
        <w:t xml:space="preserve"> CMOS </w:t>
      </w:r>
      <w:r>
        <w:rPr>
          <w:rFonts w:hint="eastAsia"/>
        </w:rPr>
        <w:t xml:space="preserve">互补对实现，A1</w:t>
      </w:r>
      <w:r>
        <w:t xml:space="preserve"> </w:t>
      </w:r>
      <w:r>
        <w:rPr>
          <w:rFonts w:hint="eastAsia"/>
        </w:rPr>
        <w:t xml:space="preserve">与</w:t>
      </w:r>
      <w:r>
        <w:t xml:space="preserve"> A2 </w:t>
      </w:r>
      <w:r>
        <w:rPr>
          <w:rFonts w:hint="eastAsia"/>
        </w:rPr>
        <w:t xml:space="preserve">会合并成单个门，净剩一个</w:t>
      </w:r>
      <w:r>
        <w:t xml:space="preserve"> VDD </w:t>
      </w:r>
      <w:r>
        <w:rPr>
          <w:rFonts w:hint="eastAsia"/>
        </w:rPr>
        <w:t xml:space="preserve">与一个</w:t>
      </w:r>
      <w:r>
        <w:t xml:space="preserve"> GND。</w:t>
      </w:r>
    </w:p>
    <w:p>
      <w:pPr/>
      <w:r>
        <w:rPr>
          <w:rFonts w:hint="eastAsia"/>
        </w:rPr>
        <w:t xml:space="preserve">由此构成”与门输出再经非门取反”的二输入与非组态，输出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rPr>
                <m:sty m:val="p"/>
              </m:rPr>
              <m:t>⋅</m:t>
            </m:r>
            <m:r>
              <m:t>B</m:t>
            </m:r>
          </m:e>
        </m:bar>
      </m:oMath>
      <w:r>
        <w:rPr>
          <w:rFonts w:hint="eastAsia"/>
        </w:rPr>
        <w:t xml:space="preserve">，仅当</w:t>
      </w:r>
      <w:r>
        <w:t xml:space="preserve"> A、B </w:t>
      </w:r>
      <w:r>
        <w:rPr>
          <w:rFonts w:hint="eastAsia"/>
        </w:rPr>
        <w:t xml:space="preserve">同时为</w:t>
      </w:r>
      <w:r>
        <w:t xml:space="preserve"> 1 </w:t>
      </w:r>
      <w:r>
        <w:rPr>
          <w:rFonts w:hint="eastAsia"/>
        </w:rPr>
        <w:t xml:space="preserve">时输出为</w:t>
      </w:r>
      <w:r>
        <w:t xml:space="preserve"> </w:t>
      </w:r>
      <w:r>
        <w:rPr>
          <w:rFonts w:hint="eastAsia"/>
        </w:rPr>
        <w:t xml:space="preserve">0，其余输入组合输出为</w:t>
      </w:r>
      <w:r>
        <w:t xml:space="preserve"> </w:t>
      </w:r>
      <w:r>
        <w:rPr>
          <w:rFonts w:hint="eastAsia"/>
        </w:rPr>
        <w:t xml:space="preserve">1；由于</w:t>
      </w:r>
      <w:r>
        <w:t xml:space="preserve"> NAND </w:t>
      </w:r>
      <w:r>
        <w:rPr>
          <w:rFonts w:hint="eastAsia"/>
        </w:rPr>
        <w:t xml:space="preserve">具备逻辑完备性，任何组合逻辑函数都可由与非门单独搭建。</w:t>
      </w:r>
    </w:p>
    <w:bookmarkEnd w:id="19"/>
    <w:bookmarkStart w:id="20" w:name="工作原理"/>
    <w:p>
      <w:pPr>
        <w:pStyle w:val="Heading2"/>
      </w:pPr>
      <w:r>
        <w:rPr>
          <w:rFonts w:hint="eastAsia"/>
        </w:rPr>
        <w:t xml:space="preserve">工作原理</w:t>
      </w:r>
    </w:p>
    <w:p>
      <w:pPr>
        <w:pStyle w:val="FirstParagraph"/>
      </w:pPr>
      <w:r>
        <w:rPr>
          <w:rFonts w:hint="eastAsia"/>
        </w:rPr>
        <w:t xml:space="preserve">只有当所有输入都为高电平（1）时，输出才为低电平（0）；只要任一输入为低电平，输出即为高电平。即“先与后非”。在</w:t>
      </w:r>
      <w:r>
        <w:t xml:space="preserve"> CMOS </w:t>
      </w:r>
      <w:r>
        <w:rPr>
          <w:rFonts w:hint="eastAsia"/>
        </w:rPr>
        <w:t xml:space="preserve">实现中，串联的</w:t>
      </w:r>
      <w:r>
        <w:t xml:space="preserve"> NMOS </w:t>
      </w:r>
      <w:r>
        <w:rPr>
          <w:rFonts w:hint="eastAsia"/>
        </w:rPr>
        <w:t xml:space="preserve">下拉网络对应与逻辑，并联的</w:t>
      </w:r>
      <w:r>
        <w:t xml:space="preserve"> PMOS </w:t>
      </w:r>
      <w:r>
        <w:rPr>
          <w:rFonts w:hint="eastAsia"/>
        </w:rPr>
        <w:t xml:space="preserve">上拉网络对应非逻辑。</w:t>
      </w:r>
    </w:p>
    <w:bookmarkEnd w:id="20"/>
    <w:bookmarkStart w:id="21" w:name="关键计算公式"/>
    <w:p>
      <w:pPr>
        <w:pStyle w:val="Heading2"/>
      </w:pPr>
      <w:r>
        <w:rPr>
          <w:rFonts w:hint="eastAsia"/>
        </w:rPr>
        <w:t xml:space="preserve">关键计算公式</w:t>
      </w:r>
    </w:p>
    <w:p>
      <w:pPr>
        <w:numPr>
          <w:ilvl w:val="0"/>
          <w:numId w:val="1001"/>
        </w:numPr>
      </w:pPr>
      <w:r>
        <w:rPr>
          <w:rFonts w:hint="eastAsia"/>
        </w:rPr>
        <w:t xml:space="preserve">二输入与非逻辑表达式：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t>B</m:t>
              </m:r>
            </m:e>
          </m:bar>
        </m:oMath>
      </m:oMathPara>
    </w:p>
    <w:p>
      <w:pPr>
        <w:numPr>
          <w:ilvl w:val="0"/>
          <w:numId w:val="1001"/>
        </w:numPr>
      </w:pPr>
      <w:r>
        <w:t xml:space="preserve">n </w:t>
      </w:r>
      <w:r>
        <w:rPr>
          <w:rFonts w:hint="eastAsia"/>
        </w:rPr>
        <w:t xml:space="preserve">输入与非：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⋯</m:t>
              </m:r>
              <m:sSub>
                <m:e>
                  <m:r>
                    <m:t>A</m:t>
                  </m:r>
                </m:e>
                <m:sub>
                  <m:r>
                    <m:t>n</m:t>
                  </m:r>
                </m:sub>
              </m:sSub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与非门构造非门：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  <m:r>
                <m:rPr>
                  <m:sty m:val="p"/>
                </m:rPr>
                <m:t>⋅</m:t>
              </m:r>
              <m:r>
                <m:t>A</m:t>
              </m:r>
            </m:e>
          </m:bar>
          <m:r>
            <m:rPr>
              <m:sty m:val="p"/>
            </m:rPr>
            <m:t>=</m:t>
          </m:r>
          <m:bar>
            <m:barPr>
              <m:pos m:val="top"/>
            </m:barPr>
            <m:e>
              <m:r>
                <m:t>A</m:t>
              </m:r>
            </m:e>
          </m:ba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与非门构造与门：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bar>
                <m:barPr>
                  <m:pos m:val="top"/>
                </m:barPr>
                <m:e>
                  <m:r>
                    <m:t>A</m:t>
                  </m:r>
                  <m:r>
                    <m:t>B</m:t>
                  </m:r>
                </m:e>
              </m:bar>
            </m:e>
          </m:bar>
          <m:r>
            <m:rPr>
              <m:sty m:val="p"/>
            </m:rPr>
            <m:t>=</m:t>
          </m:r>
          <m:r>
            <m:t>A</m:t>
          </m:r>
          <m:r>
            <m:t>B</m:t>
          </m:r>
        </m:oMath>
      </m:oMathPara>
    </w:p>
    <w:p>
      <w:pPr>
        <w:numPr>
          <w:ilvl w:val="0"/>
          <w:numId w:val="1001"/>
        </w:numPr>
      </w:pPr>
      <w:r>
        <w:rPr>
          <w:rFonts w:hint="eastAsia"/>
        </w:rPr>
        <w:t xml:space="preserve">与非门构造或门（德摩根）：</w:t>
      </w:r>
    </w:p>
    <w:p>
      <w:pPr>
        <w:spacing w:before="120" w:after="120"/>
        <w:jc w:val="center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bar>
            <m:barPr>
              <m:pos m:val="top"/>
            </m:barPr>
            <m:e>
              <m:bar>
                <m:barPr>
                  <m:pos m:val="top"/>
                </m:barPr>
                <m:e>
                  <m:r>
                    <m:t>A</m:t>
                  </m:r>
                </m:e>
              </m:bar>
              <m:r>
                <m:t> </m:t>
              </m:r>
              <m:bar>
                <m:barPr>
                  <m:pos m:val="top"/>
                </m:barPr>
                <m:e>
                  <m:r>
                    <m:t>B</m:t>
                  </m:r>
                </m:e>
              </m:bar>
            </m:e>
          </m:bar>
        </m:oMath>
      </m:oMathPara>
    </w:p>
    <w:tbl>
      <w:tblPr>
        <w:tblStyle w:val="Table"/>
        <w:tblW w:type="auto" w:w="0"/>
        <w:tblLook w:firstRow="1" w:lastRow="0" w:firstColumn="0" w:lastColumn="0" w:noHBand="0" w:noVBand="0" w:val="002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符号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含义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单位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Y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输出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输入端口数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bookmarkEnd w:id="21"/>
    <w:bookmarkStart w:id="22" w:name="元件调整影响"/>
    <w:p>
      <w:pPr>
        <w:pStyle w:val="Heading2"/>
      </w:pPr>
      <w:r>
        <w:rPr>
          <w:rFonts w:hint="eastAsia"/>
        </w:rPr>
        <w:t xml:space="preserve">元件调整影响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输入端口数增多</w:t>
      </w:r>
      <w:r>
        <w:t xml:space="preserve"> </w:t>
      </w:r>
      <w:r>
        <w:t xml:space="preserve">→ </w:t>
      </w:r>
      <w:r>
        <w:rPr>
          <w:rFonts w:hint="eastAsia"/>
        </w:rPr>
        <w:t xml:space="preserve">扇入增大，串联晶体管变多，传播延迟上升。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输出并入更多负载</w:t>
      </w:r>
      <w:r>
        <w:t xml:space="preserve"> </w:t>
      </w:r>
      <w:r>
        <w:t xml:space="preserve">→ </w:t>
      </w:r>
      <w:r>
        <w:rPr>
          <w:rFonts w:hint="eastAsia"/>
        </w:rPr>
        <w:t xml:space="preserve">扇出增加，充放电时间变长，最高工作频率下降。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  <w:b/>
          <w:bCs/>
        </w:rPr>
        <w:t xml:space="preserve">未用输入端悬空</w:t>
      </w:r>
      <w:r>
        <w:t xml:space="preserve"> </w:t>
      </w:r>
      <w:r>
        <w:t xml:space="preserve">→ TTL </w:t>
      </w:r>
      <w:r>
        <w:rPr>
          <w:rFonts w:hint="eastAsia"/>
        </w:rPr>
        <w:t xml:space="preserve">悬空视为高电平，可能拾取噪声，应接固定电平。</w:t>
      </w:r>
    </w:p>
    <w:bookmarkEnd w:id="22"/>
    <w:bookmarkStart w:id="23" w:name="典型参数示例"/>
    <w:p>
      <w:pPr>
        <w:pStyle w:val="Heading2"/>
      </w:pPr>
      <w:r>
        <w:rPr>
          <w:rFonts w:hint="eastAsia"/>
        </w:rPr>
        <w:t xml:space="preserve">典型参数示例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二输入与非门真值表：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rPr>
          <w:rFonts w:hint="eastAsia"/>
        </w:rPr>
        <w:t xml:space="preserve">时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1</m:t>
            </m:r>
            <m:r>
              <m:rPr>
                <m:sty m:val="p"/>
              </m:rPr>
              <m:t>⋅</m:t>
            </m:r>
            <m:r>
              <m:t>1</m:t>
            </m:r>
          </m:e>
        </m:bar>
        <m:r>
          <m:rPr>
            <m:sty m:val="p"/>
          </m:rPr>
          <m:t>=</m:t>
        </m:r>
        <m:r>
          <m:t>0</m:t>
        </m:r>
      </m:oMath>
      <w:r>
        <w:rPr>
          <w:rFonts w:hint="eastAsia"/>
        </w:rPr>
        <w:t xml:space="preserve">；其余三种输入组合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用两个与非门可构成一个与门：第一级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A</m:t>
            </m:r>
            <m:r>
              <m:t>B</m:t>
            </m:r>
          </m:e>
        </m:bar>
      </m:oMath>
      <w:r>
        <w:rPr>
          <w:rFonts w:hint="eastAsia"/>
        </w:rPr>
        <w:t xml:space="preserve">，第二级输出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bar>
          <m:barPr>
            <m:pos m:val="top"/>
          </m:barPr>
          <m:e>
            <m:r>
              <m:t>S</m:t>
            </m:r>
            <m:r>
              <m:t>S</m:t>
            </m:r>
          </m:e>
        </m:bar>
        <m:r>
          <m:rPr>
            <m:sty m:val="p"/>
          </m:rPr>
          <m:t>=</m:t>
        </m:r>
        <m:bar>
          <m:barPr>
            <m:pos m:val="top"/>
          </m:barPr>
          <m:e>
            <m:r>
              <m:t>S</m:t>
            </m:r>
          </m:e>
        </m:bar>
        <m:r>
          <m:rPr>
            <m:sty m:val="p"/>
          </m:rPr>
          <m:t>=</m:t>
        </m:r>
        <m:r>
          <m:t>A</m:t>
        </m:r>
        <m:r>
          <m:t>B</m:t>
        </m:r>
      </m:oMath>
      <w:r>
        <w:t xml:space="preserve">。</w:t>
      </w:r>
    </w:p>
    <w:bookmarkEnd w:id="23"/>
    <w:bookmarkStart w:id="24" w:name="常见器件型号"/>
    <w:p>
      <w:pPr>
        <w:pStyle w:val="Heading2"/>
      </w:pPr>
      <w:r>
        <w:rPr>
          <w:rFonts w:hint="eastAsia"/>
        </w:rPr>
        <w:t xml:space="preserve">常见器件型号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74HC00：四</w:t>
      </w:r>
      <w:r>
        <w:t xml:space="preserve"> 2 </w:t>
      </w:r>
      <w:r>
        <w:rPr>
          <w:rFonts w:hint="eastAsia"/>
        </w:rPr>
        <w:t xml:space="preserve">输入与非门。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74HC10：三</w:t>
      </w:r>
      <w:r>
        <w:t xml:space="preserve"> 3 </w:t>
      </w:r>
      <w:r>
        <w:rPr>
          <w:rFonts w:hint="eastAsia"/>
        </w:rPr>
        <w:t xml:space="preserve">输入与非门。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CD4011：四</w:t>
      </w:r>
      <w:r>
        <w:t xml:space="preserve"> 2 </w:t>
      </w:r>
      <w:r>
        <w:rPr>
          <w:rFonts w:hint="eastAsia"/>
        </w:rPr>
        <w:t xml:space="preserve">输入与非门（CMOS</w:t>
      </w:r>
      <w:r>
        <w:t xml:space="preserve"> 4000 </w:t>
      </w:r>
      <w:r>
        <w:rPr>
          <w:rFonts w:hint="eastAsia"/>
        </w:rPr>
        <w:t xml:space="preserve">系列）。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74LS00：四</w:t>
      </w:r>
      <w:r>
        <w:t xml:space="preserve"> 2 </w:t>
      </w:r>
      <w:r>
        <w:rPr>
          <w:rFonts w:hint="eastAsia"/>
        </w:rPr>
        <w:t xml:space="preserve">输入与非门（TTL）。</w:t>
      </w:r>
    </w:p>
    <w:bookmarkEnd w:id="24"/>
    <w:bookmarkStart w:id="25" w:name="注意事项"/>
    <w:p>
      <w:pPr>
        <w:pStyle w:val="Heading2"/>
      </w:pPr>
      <w:r>
        <w:rPr>
          <w:rFonts w:hint="eastAsia"/>
        </w:rPr>
        <w:t xml:space="preserve">注意事项</w:t>
      </w:r>
    </w:p>
    <w:p>
      <w:pPr>
        <w:pStyle w:val="Compact"/>
        <w:numPr>
          <w:ilvl w:val="0"/>
          <w:numId w:val="1005"/>
        </w:numPr>
      </w:pPr>
      <w:r>
        <w:t xml:space="preserve">TTL </w:t>
      </w:r>
      <w:r>
        <w:rPr>
          <w:rFonts w:hint="eastAsia"/>
        </w:rPr>
        <w:t xml:space="preserve">输入端悬空等价于高电平，CMOS</w:t>
      </w:r>
      <w:r>
        <w:t xml:space="preserve"> </w:t>
      </w:r>
      <w:r>
        <w:rPr>
          <w:rFonts w:hint="eastAsia"/>
        </w:rPr>
        <w:t xml:space="preserve">输入端严禁悬空，必须接</w:t>
      </w:r>
      <w:r>
        <w:t xml:space="preserve"> 0 </w:t>
      </w:r>
      <w:r>
        <w:rPr>
          <w:rFonts w:hint="eastAsia"/>
        </w:rPr>
        <w:t xml:space="preserve">或</w:t>
      </w:r>
      <w:r>
        <w:t xml:space="preserve"> 1。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利用与非门的逻辑完备性可搭任意组合逻辑，但需注意级数带来的延迟累积。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注意电源电压范围（74HC</w:t>
      </w:r>
      <w:r>
        <w:t xml:space="preserve"> </w:t>
      </w:r>
      <w:r>
        <w:rPr>
          <w:rFonts w:hint="eastAsia"/>
        </w:rPr>
        <w:t xml:space="preserve">为</w:t>
      </w:r>
      <w:r>
        <w:t xml:space="preserve"> </w:t>
      </w:r>
      <w:r>
        <w:rPr>
          <w:rFonts w:hint="eastAsia"/>
        </w:rPr>
        <w:t xml:space="preserve">2~6V，CD4000</w:t>
      </w:r>
      <w:r>
        <w:t xml:space="preserve"> </w:t>
      </w:r>
      <w:r>
        <w:rPr>
          <w:rFonts w:hint="eastAsia"/>
        </w:rPr>
        <w:t xml:space="preserve">系列可到</w:t>
      </w:r>
      <w:r>
        <w:t xml:space="preserve"> </w:t>
      </w:r>
      <w:r>
        <w:rPr>
          <w:rFonts w:hint="eastAsia"/>
        </w:rPr>
        <w:t xml:space="preserve">3~18V）。</w:t>
      </w:r>
    </w:p>
    <w:bookmarkEnd w:id="25"/>
    <w:bookmarkStart w:id="26" w:name="参考资料"/>
    <w:p>
      <w:pPr>
        <w:pStyle w:val="Heading2"/>
      </w:pPr>
      <w:r>
        <w:rPr>
          <w:rFonts w:hint="eastAsia"/>
        </w:rPr>
        <w:t xml:space="preserve">参考资料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《数字电子技术基础》（阎石）。</w:t>
      </w:r>
    </w:p>
    <w:p>
      <w:pPr>
        <w:pStyle w:val="Compact"/>
        <w:numPr>
          <w:ilvl w:val="0"/>
          <w:numId w:val="1006"/>
        </w:numPr>
      </w:pPr>
      <w:r>
        <w:t xml:space="preserve">Wikipedia: NAND gate。</w:t>
      </w:r>
    </w:p>
    <w:p>
      <w:pPr>
        <w:pStyle w:val="Compact"/>
        <w:numPr>
          <w:ilvl w:val="0"/>
          <w:numId w:val="1006"/>
        </w:numPr>
      </w:pPr>
      <w:r>
        <w:t xml:space="preserve">TI 74HC00 </w:t>
      </w:r>
      <w:r>
        <w:rPr>
          <w:rFonts w:hint="eastAsia"/>
        </w:rPr>
        <w:t xml:space="preserve">数据手册。</w:t>
      </w:r>
    </w:p>
    <w:bookmarkEnd w:id="26"/>
    <w:bookmarkEnd w:id="27"/>
    <w:p>
      <w:pPr>
        <w:spacing w:before="360"/>
        <w:jc w:val="center"/>
      </w:pPr>
      <w:r>
        <w:rPr>
          <w:rFonts w:ascii="Times New Roman" w:hAnsi="Times New Roman"/>
          <w:color w:val="555555"/>
          <w:sz w:val="21"/>
        </w:rPr>
        <w:t>材料收集者：杜文杰</w:t>
      </w:r>
    </w:p>
    <w:sectPr w:rsidR="00FC693F" w:rsidRPr="0006063C" w:rsidSect="00034616">
      <w:headerReference r:id="rId9" w:type="default"/>
      <w:footerReference r:id="rId10" w:type="default"/>
      <w:pgSz w:h="16838" w:w="11906"/>
      <w:pgMar w:bottom="1134" w:footer="720" w:gutter="0" w:header="720" w:left="1361" w:right="1361" w:top="124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r>
      <w:rPr>
        <w:sz w:val="18"/>
      </w:rPr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sz w:val="18"/>
        <w:rFonts w:eastAsia="黑体"/>
        <w:rFonts w:eastAsia="黑体"/>
      </w:rPr>
      <w:t>与非门电路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80" w:line="300" w:lineRule="auto"/>
    </w:pPr>
    <w:rPr>
      <w:rFonts w:ascii="Times New Roman" w:eastAsia="黑体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160" w:before="280"/>
      <w:outlineLvl w:val="0"/>
    </w:pPr>
    <w:rPr>
      <w:rFonts w:ascii="Times New Roman" w:asciiTheme="majorHAnsi" w:cstheme="majorBidi" w:eastAsia="黑体" w:eastAsiaTheme="majorEastAsia" w:hAnsi="Times New Roman" w:hAnsiTheme="majorHAnsi"/>
      <w:b/>
      <w:bCs/>
      <w:color w:val="1F3864"/>
      <w:sz w:val="32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20" w:before="240"/>
      <w:outlineLvl w:val="1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/>
      <w:outlineLvl w:val="2"/>
    </w:pPr>
    <w:rPr>
      <w:rFonts w:ascii="Times New Roman" w:asciiTheme="majorHAnsi" w:cstheme="majorBidi" w:eastAsia="黑体" w:eastAsiaTheme="majorEastAsia" w:hAnsi="Times New Roman" w:hAnsiTheme="majorHAnsi"/>
      <w:b/>
      <w:bCs/>
      <w:color w:val="2E4E7E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/>
      <w:outlineLvl w:val="3"/>
    </w:pPr>
    <w:rPr>
      <w:rFonts w:ascii="Times New Roman" w:asciiTheme="majorHAnsi" w:cstheme="majorBidi" w:eastAsia="黑体" w:eastAsiaTheme="majorEastAsia" w:hAnsi="Times New Roman" w:hAnsiTheme="majorHAnsi"/>
      <w:b/>
      <w:bCs/>
      <w:i/>
      <w:iCs/>
      <w:color w:val="333333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/>
      <w:outlineLvl w:val="4"/>
    </w:pPr>
    <w:rPr>
      <w:rFonts w:ascii="Times New Roman" w:asciiTheme="majorHAnsi" w:cstheme="majorBidi" w:eastAsia="黑体" w:eastAsiaTheme="majorEastAsia" w:hAnsi="Times New Roman" w:hAnsiTheme="majorHAnsi"/>
      <w:b/>
      <w:color w:val="333333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pBdr>
        <w:bottom w:color="4F81BD" w:space="4" w:sz="8" w:themeColor="accent1" w:val="single"/>
      </w:pBdr>
      <w:spacing w:after="160" w:before="280" w:line="240" w:lineRule="auto"/>
      <w:contextualSpacing/>
    </w:pPr>
    <w:rPr>
      <w:rFonts w:ascii="Times New Roman" w:asciiTheme="majorHAnsi" w:cstheme="majorBidi" w:eastAsia="黑体" w:eastAsiaTheme="majorEastAsia" w:hAnsi="Times New Roman" w:hAnsiTheme="majorHAnsi"/>
      <w:b/>
      <w:color w:val="1F3864"/>
      <w:spacing w:val="5"/>
      <w:kern w:val="28"/>
      <w:sz w:val="44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pBdr>
        <w:left w:color="2E4E7E" w:space="6" w:sz="12" w:val="single"/>
      </w:pBdr>
      <w:shd w:fill="F2F7FD" w:val="clear"/>
      <w:spacing w:after="40" w:before="40"/>
      <w:ind w:left="170" w:right="170"/>
    </w:pPr>
    <w:rPr>
      <w:rFonts w:ascii="Times New Roman" w:eastAsia="黑体" w:hAnsi="Times New Roman"/>
      <w:i/>
      <w:iCs/>
      <w:color w:themeColor="text1" w:val="00000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与非门电路</dc:title>
  <dc:creator>AI 智能体</dc:creator>
  <cp:keywords/>
  <dcterms:created xsi:type="dcterms:W3CDTF">2026-09-08T14:37:15Z</dcterms:created>
  <dcterms:modified xsi:type="dcterms:W3CDTF">2026-09-08T14:37:15Z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