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码管驱动电路"/>
    <w:p>
      <w:pPr>
        <w:pStyle w:val="Heading1"/>
      </w:pPr>
      <w:r>
        <w:rPr>
          <w:rFonts w:hint="eastAsia"/>
        </w:rPr>
        <w:t xml:space="preserve">数码管驱动电路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译码驱动芯片/MCU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端口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（段驱动输出与位选输出）</w:t>
      </w:r>
      <w:r>
        <w:t xml:space="preserve">、</w:t>
      </w:r>
      <w:r>
        <w:rPr>
          <w:rFonts w:hint="eastAsia"/>
          <w:b/>
          <w:bCs/>
        </w:rPr>
        <w:t xml:space="preserve">位选开关管（以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计，共阴/共阳对应选型）</w:t>
      </w:r>
      <w:r>
        <w:t xml:space="preserve">、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位七段数码管（每位笔段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∼</m:t>
        </m:r>
        <m:r>
          <m:t>g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加小数点</w:t>
      </w:r>
      <w:r>
        <w:rPr>
          <w:b/>
          <w:bCs/>
        </w:rPr>
        <w:t xml:space="preserve"> </w:t>
      </w:r>
      <m:oMath>
        <m:r>
          <m:t>d</m:t>
        </m:r>
        <m:r>
          <m:t>p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组成的动态扫描显示网络（以共阳接法为例）。电路共有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（所有位选管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与电源正极相连）；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各位位母线（共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个）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与该位数码管所有笔段的公共阳极相连）；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段母线（共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条）</w:t>
      </w:r>
      <w:r>
        <w:rPr>
          <w:rFonts w:hint="eastAsia"/>
        </w:rPr>
        <w:t xml:space="preserve">（各数码管同名笔段并联成的段线，经限流电阻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接段驱动上）；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（译码驱动芯片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的灌电流回路与电源负端相连）。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位选管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E </w:t>
      </w:r>
      <w:r>
        <w:rPr>
          <w:rFonts w:hint="eastAsia"/>
        </w:rPr>
        <w:t xml:space="preserve">接节点①电源正端、B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位选输出、C</w:t>
      </w:r>
      <w:r>
        <w:t xml:space="preserve"> </w:t>
      </w:r>
      <w:r>
        <w:rPr>
          <w:rFonts w:hint="eastAsia"/>
        </w:rPr>
        <w:t xml:space="preserve">接节点②第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位位母线；</w:t>
      </w:r>
      <w:r>
        <w:rPr>
          <w:rFonts w:hint="eastAsia"/>
          <w:b/>
          <w:bCs/>
        </w:rPr>
        <w:t xml:space="preserve">数码管</w:t>
      </w:r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位各笔段的公共阳极接节点②该位位母线，笔段阴极（</w:t>
      </w:r>
      <m:oMath>
        <m:r>
          <m:t>a</m:t>
        </m:r>
        <m:r>
          <m:rPr>
            <m:sty m:val="p"/>
          </m:rPr>
          <m:t>∼</m:t>
        </m:r>
        <m:r>
          <m:t>g</m:t>
        </m:r>
      </m:oMath>
      <w:r>
        <w:t xml:space="preserve">、</w:t>
      </w:r>
      <m:oMath>
        <m:r>
          <m:t>d</m:t>
        </m:r>
        <m:r>
          <m:t>p</m:t>
        </m:r>
      </m:oMath>
      <w:r>
        <w:rPr>
          <w:rFonts w:hint="eastAsia"/>
        </w:rPr>
        <w:t xml:space="preserve">）经各自的限流电阻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接节点③段母线；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段驱动输出经节点③段母线（及限流电阻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）接数码管笔段，位选输出接各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的基极、电源与地接节点①/④。</w:t>
      </w:r>
    </w:p>
    <w:p>
      <w:pPr/>
      <w:r>
        <w:rPr>
          <w:rFonts w:hint="eastAsia"/>
        </w:rPr>
        <w:t xml:space="preserve">由此构成”共阳动态扫描</w:t>
      </w:r>
      <w:r>
        <w:t xml:space="preserve"> + </w:t>
      </w:r>
      <w:r>
        <w:rPr>
          <w:rFonts w:hint="eastAsia"/>
        </w:rPr>
        <w:t xml:space="preserve">段驱动”组态：任意时刻仅选通一位（该位位选管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导通），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按字形数据驱动对应笔段（经限流电阻限流、灌电流到地），快速轮询各位并利用视觉暂留实现多位同时显示，每位限流电阻决定该位各笔段电流。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利用动态扫描（分时复用）逐位点亮数码管，任意时刻只有一位被选中并显示其段码，借助视觉暂留实现多位同时显示；每位限流电阻决定该位各笔段电流。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单段电流（共阳，限流电阻）：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单段功率：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单段平均电流（N</w:t>
      </w:r>
      <w:r>
        <w:t xml:space="preserve"> </w:t>
      </w:r>
      <w:r>
        <w:rPr>
          <w:rFonts w:hint="eastAsia"/>
        </w:rPr>
        <w:t xml:space="preserve">位扫描）：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位扫描频率：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</w:t>
            </w:r>
            <w:r>
              <w:t xml:space="preserve"> LED </w:t>
            </w:r>
            <w:r>
              <w:rPr>
                <w:rFonts w:hint="eastAsia"/>
              </w:rPr>
              <w:t xml:space="preserve">笔段正向压降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每位导通时间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位扫描频率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单段电流减小、亮度降低。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每位占空比</w:t>
      </w:r>
      <w:r>
        <w:t xml:space="preserve"> 1/N </w:t>
      </w:r>
      <w:r>
        <w:rPr>
          <w:rFonts w:hint="eastAsia"/>
        </w:rPr>
        <w:t xml:space="preserve">减小，需提高峰值电流补偿，否则平均亮度下降。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扫描频率降低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易出现闪烁；过高则开关损耗与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亮度上限提高，但需同步加大限流电阻。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s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1.8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0.01</m:t>
        </m:r>
        <m:r>
          <m:rPr>
            <m:sty m:val="p"/>
          </m:rPr>
          <m:t>=</m:t>
        </m:r>
        <m:r>
          <m:t>320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（取</w:t>
      </w:r>
      <w:r>
        <w:t xml:space="preserve"> 330 </w:t>
      </w:r>
      <w:r>
        <w:rPr>
          <w:rFonts w:hint="eastAsia"/>
        </w:rPr>
        <w:t xml:space="preserve">Ω）。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位扫描、</w:t>
      </w:r>
      <m:oMath>
        <m:sSub>
          <m:e>
            <m:r>
              <m:t>I</m:t>
            </m:r>
          </m:e>
          <m:sub>
            <m:r>
              <m:t>s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取</w:t>
      </w:r>
      <w:r>
        <w:t xml:space="preserve"> 200 </w:t>
      </w:r>
      <w:r>
        <w:rPr>
          <w:rFonts w:hint="eastAsia"/>
        </w:rPr>
        <w:t xml:space="preserve">Hz～1</w:t>
      </w:r>
      <w:r>
        <w:t xml:space="preserve"> kHz。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译码驱动器：74HC595（移位）、MAX7219、TM1637、74HC48（BCD-7</w:t>
      </w:r>
      <w:r>
        <w:t xml:space="preserve"> </w:t>
      </w:r>
      <w:r>
        <w:rPr>
          <w:rFonts w:hint="eastAsia"/>
        </w:rPr>
        <w:t xml:space="preserve">段译码）。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位选管：S8550</w:t>
      </w:r>
      <w:r>
        <w:t xml:space="preserve"> / </w:t>
      </w:r>
      <w:r>
        <w:rPr>
          <w:rFonts w:hint="eastAsia"/>
        </w:rPr>
        <w:t xml:space="preserve">S9012（PNP，共阳）或</w:t>
      </w:r>
      <w:r>
        <w:t xml:space="preserve"> ULN2803 </w:t>
      </w:r>
      <w:r>
        <w:rPr>
          <w:rFonts w:hint="eastAsia"/>
        </w:rPr>
        <w:t xml:space="preserve">达林顿阵列。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数码管：共阳/共阴七段数码管（如</w:t>
      </w:r>
      <w:r>
        <w:t xml:space="preserve"> </w:t>
      </w:r>
      <w:r>
        <w:rPr>
          <w:rFonts w:hint="eastAsia"/>
        </w:rPr>
        <w:t xml:space="preserve">SM42056、四位</w:t>
      </w:r>
      <w:r>
        <w:t xml:space="preserve"> 0.36” / 0.56” </w:t>
      </w:r>
      <w:r>
        <w:rPr>
          <w:rFonts w:hint="eastAsia"/>
        </w:rPr>
        <w:t xml:space="preserve">数码管）。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共阳与共阴接法、限流电阻位置（段侧/位侧）需对应，切勿混用。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动态扫描时峰值电流必须满足数码管规格，并按占空比核算平均亮度。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</w:t>
      </w:r>
      <w:r>
        <w:t xml:space="preserve"> IC </w:t>
      </w:r>
      <w:r>
        <w:rPr>
          <w:rFonts w:hint="eastAsia"/>
        </w:rPr>
        <w:t xml:space="preserve">输出电流与灌电流能力需覆盖总段电流，避免过载。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段点亮电流不要超过</w:t>
      </w:r>
      <w:r>
        <w:t xml:space="preserve"> DC </w:t>
      </w:r>
      <w:r>
        <w:rPr>
          <w:rFonts w:hint="eastAsia"/>
        </w:rPr>
        <w:t xml:space="preserve">额定值，防止长期衰减。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Seven-segment display。</w:t>
      </w:r>
    </w:p>
    <w:p>
      <w:pPr>
        <w:pStyle w:val="Compact"/>
        <w:numPr>
          <w:ilvl w:val="0"/>
          <w:numId w:val="1006"/>
        </w:numPr>
      </w:pPr>
      <w:r>
        <w:t xml:space="preserve">MAX7219 / TM1637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《单片机原理及应用》。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数码管驱动电路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数码管驱动电路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