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7" w:name="流量传感器电路"/>
    <w:p>
      <w:pPr>
        <w:pStyle w:val="Heading1"/>
      </w:pPr>
      <w:r>
        <w:rPr>
          <w:rFonts w:hint="eastAsia"/>
        </w:rPr>
        <w:t xml:space="preserve">流量传感器电路</w:t>
      </w:r>
    </w:p>
    <w:bookmarkStart w:id="19" w:name="拓扑描述"/>
    <w:p>
      <w:pPr>
        <w:pStyle w:val="Heading2"/>
      </w:pPr>
      <w:r>
        <w:rPr>
          <w:rFonts w:hint="eastAsia"/>
        </w:rPr>
        <w:t xml:space="preserve">拓扑描述</w:t>
      </w:r>
    </w:p>
    <w:p>
      <w:pPr>
        <w:pStyle w:val="FirstParagraph"/>
      </w:pPr>
      <w:r>
        <w:rPr>
          <w:rFonts w:hint="eastAsia"/>
        </w:rPr>
        <w:t xml:space="preserve">由</w:t>
      </w:r>
      <w:r>
        <w:t xml:space="preserve"> </w:t>
      </w:r>
      <w:r>
        <w:rPr>
          <w:rFonts w:hint="eastAsia"/>
          <w:b/>
          <w:bCs/>
        </w:rPr>
        <w:t xml:space="preserve">流量传感元件（涡轮-霍尔叶轮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H，或热式</w:t>
      </w:r>
      <w:r>
        <w:rPr>
          <w:b/>
          <w:bCs/>
        </w:rPr>
        <w:t xml:space="preserve"> RTD </w:t>
      </w:r>
      <w:r>
        <w:rPr>
          <w:rFonts w:hint="eastAsia"/>
          <w:b/>
          <w:bCs/>
        </w:rPr>
        <w:t xml:space="preserve">热丝、超声波换能器、电磁式）</w:t>
      </w:r>
      <w:r>
        <w:t xml:space="preserve">、</w:t>
      </w:r>
      <w:r>
        <w:rPr>
          <w:rFonts w:hint="eastAsia"/>
          <w:b/>
          <w:bCs/>
        </w:rPr>
        <w:t xml:space="preserve">激励/驱动电路</w:t>
      </w:r>
      <w:r>
        <w:t xml:space="preserve">、</w:t>
      </w:r>
      <w:r>
        <w:rPr>
          <w:rFonts w:hint="eastAsia"/>
          <w:b/>
          <w:bCs/>
        </w:rPr>
        <w:t xml:space="preserve">信号放大与调理电路（比较器/施密特整形器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A1、限流/上拉电阻</w:t>
      </w:r>
      <w:r>
        <w:rPr>
          <w:b/>
          <w:bCs/>
        </w:rPr>
        <w:t xml:space="preserve"> </w:t>
      </w:r>
      <m:oMath>
        <m:sSub>
          <m:e>
            <m:r>
              <m:t>R</m:t>
            </m:r>
          </m:e>
          <m:sub>
            <m:r>
              <m:t>1</m:t>
            </m:r>
          </m:sub>
        </m:sSub>
        <m:r>
          <m:rPr>
            <m:sty m:val="p"/>
          </m:rPr>
          <m:t>/</m:t>
        </m:r>
        <m:sSub>
          <m:e>
            <m:r>
              <m:t>R</m:t>
            </m:r>
          </m:e>
          <m:sub>
            <m:r>
              <m:t>2</m:t>
            </m:r>
          </m:sub>
        </m:sSub>
      </m:oMath>
      <w:r>
        <w:rPr>
          <w:rFonts w:hint="eastAsia"/>
          <w:b/>
          <w:bCs/>
        </w:rPr>
        <w:t xml:space="preserve">）</w:t>
      </w:r>
      <w:r>
        <w:t xml:space="preserve"> </w:t>
      </w:r>
      <w:r>
        <w:rPr>
          <w:rFonts w:hint="eastAsia"/>
        </w:rPr>
        <w:t xml:space="preserve">与</w:t>
      </w:r>
      <w:r>
        <w:t xml:space="preserve"> </w:t>
      </w:r>
      <w:r>
        <w:rPr>
          <w:b/>
          <w:bCs/>
        </w:rPr>
        <w:t xml:space="preserve">ADC/MCU</w:t>
      </w:r>
      <w:r>
        <w:t xml:space="preserve"> </w:t>
      </w:r>
      <w:r>
        <w:rPr>
          <w:rFonts w:hint="eastAsia"/>
        </w:rPr>
        <w:t xml:space="preserve">组成。电路共有</w:t>
      </w:r>
      <w:r>
        <w:t xml:space="preserve"> 5 </w:t>
      </w:r>
      <w:r>
        <w:rPr>
          <w:rFonts w:hint="eastAsia"/>
        </w:rPr>
        <w:t xml:space="preserve">个关键节点：</w:t>
      </w:r>
      <w:r>
        <w:rPr>
          <w:rFonts w:hint="eastAsia"/>
          <w:b/>
          <w:bCs/>
        </w:rPr>
        <w:t xml:space="preserve">节点①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传感器输出节点</w:t>
      </w:r>
      <w:r>
        <w:rPr>
          <w:rFonts w:hint="eastAsia"/>
        </w:rPr>
        <w:t xml:space="preserve">（霍尔元件在偏置下随叶轮掠过输出微弱脉冲或信号）；</w:t>
      </w:r>
      <w:r>
        <w:rPr>
          <w:rFonts w:hint="eastAsia"/>
          <w:b/>
          <w:bCs/>
        </w:rPr>
        <w:t xml:space="preserve">节点②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放大/整形节点</w:t>
      </w:r>
      <w:r>
        <w:rPr>
          <w:rFonts w:hint="eastAsia"/>
        </w:rPr>
        <w:t xml:space="preserve">（经</w:t>
      </w:r>
      <w:r>
        <w:t xml:space="preserve"> </w:t>
      </w:r>
      <m:oMath>
        <m:sSub>
          <m:e>
            <m:r>
              <m:t>R</m:t>
            </m:r>
          </m:e>
          <m:sub>
            <m:r>
              <m:t>1</m:t>
            </m:r>
          </m:sub>
        </m:sSub>
      </m:oMath>
      <w:r>
        <w:t xml:space="preserve"> </w:t>
      </w:r>
      <w:r>
        <w:rPr>
          <w:rFonts w:hint="eastAsia"/>
        </w:rPr>
        <w:t xml:space="preserve">耦合到</w:t>
      </w:r>
      <w:r>
        <w:t xml:space="preserve"> A1 </w:t>
      </w:r>
      <w:r>
        <w:rPr>
          <w:rFonts w:hint="eastAsia"/>
        </w:rPr>
        <w:t xml:space="preserve">的输入）；</w:t>
      </w:r>
      <w:r>
        <w:rPr>
          <w:rFonts w:hint="eastAsia"/>
          <w:b/>
          <w:bCs/>
        </w:rPr>
        <w:t xml:space="preserve">节点③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阈值/参考节点</w:t>
      </w:r>
      <w:r>
        <w:rPr>
          <w:rFonts w:hint="eastAsia"/>
        </w:rPr>
        <w:t xml:space="preserve">（A1</w:t>
      </w:r>
      <w:r>
        <w:t xml:space="preserve"> </w:t>
      </w:r>
      <w:r>
        <w:rPr>
          <w:rFonts w:hint="eastAsia"/>
        </w:rPr>
        <w:t xml:space="preserve">的比较阈值或分压基点）；</w:t>
      </w:r>
      <w:r>
        <w:rPr>
          <w:rFonts w:hint="eastAsia"/>
          <w:b/>
          <w:bCs/>
        </w:rPr>
        <w:t xml:space="preserve">节点④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整形输出节点</w:t>
      </w:r>
      <w:r>
        <w:rPr>
          <w:rFonts w:hint="eastAsia"/>
        </w:rPr>
        <w:t xml:space="preserve">（A1</w:t>
      </w:r>
      <w:r>
        <w:t xml:space="preserve"> </w:t>
      </w:r>
      <w:r>
        <w:rPr>
          <w:rFonts w:hint="eastAsia"/>
        </w:rPr>
        <w:t xml:space="preserve">的输出端</w:t>
      </w:r>
      <w:r>
        <w:t xml:space="preserve"> </w:t>
      </w:r>
      <w:r>
        <w:rPr>
          <w:rFonts w:hint="eastAsia"/>
        </w:rPr>
        <w:t xml:space="preserve">OUT，为干净的数字脉冲）；</w:t>
      </w:r>
      <w:r>
        <w:rPr>
          <w:rFonts w:hint="eastAsia"/>
          <w:b/>
          <w:bCs/>
        </w:rPr>
        <w:t xml:space="preserve">节点⑤</w:t>
      </w:r>
      <w:r>
        <w:rPr>
          <w:b/>
          <w:bCs/>
        </w:rPr>
        <w:t xml:space="preserve"> MCU </w:t>
      </w:r>
      <w:r>
        <w:rPr>
          <w:rFonts w:hint="eastAsia"/>
          <w:b/>
          <w:bCs/>
        </w:rPr>
        <w:t xml:space="preserve">输入节点</w:t>
      </w:r>
      <w:r>
        <w:rPr>
          <w:rFonts w:hint="eastAsia"/>
        </w:rPr>
        <w:t xml:space="preserve">（整形脉冲接</w:t>
      </w:r>
      <w:r>
        <w:t xml:space="preserve"> MCU </w:t>
      </w:r>
      <w:r>
        <w:rPr>
          <w:rFonts w:hint="eastAsia"/>
        </w:rPr>
        <w:t xml:space="preserve">的定时器/计数器输入脚）。</w:t>
      </w:r>
    </w:p>
    <w:p>
      <w:pPr/>
      <w:r>
        <w:rPr>
          <w:rFonts w:hint="eastAsia"/>
        </w:rPr>
        <w:t xml:space="preserve">各元件管脚连接：</w:t>
      </w:r>
      <w:r>
        <w:rPr>
          <w:rFonts w:hint="eastAsia"/>
          <w:b/>
          <w:bCs/>
        </w:rPr>
        <w:t xml:space="preserve">霍尔元件</w:t>
      </w:r>
      <w:r>
        <w:rPr>
          <w:b/>
          <w:bCs/>
        </w:rPr>
        <w:t xml:space="preserve"> H</w:t>
      </w:r>
      <w:r>
        <w:t xml:space="preserve"> </w:t>
      </w:r>
      <w:r>
        <w:rPr>
          <w:rFonts w:hint="eastAsia"/>
        </w:rPr>
        <w:t xml:space="preserve">的供电脚接</w:t>
      </w:r>
      <w:r>
        <w:t xml:space="preserve"> </w:t>
      </w:r>
      <w:r>
        <w:rPr>
          <w:rFonts w:hint="eastAsia"/>
        </w:rPr>
        <w:t xml:space="preserve">+VCC、地脚接地、信号脚接节点①（叶片掠过时输出脉冲）；</w:t>
      </w:r>
      <m:oMath>
        <m:sSub>
          <m:e>
            <m:r>
              <m:t>R</m:t>
            </m:r>
          </m:e>
          <m:sub>
            <m:r>
              <m:t>1</m:t>
            </m:r>
          </m:sub>
        </m:sSub>
      </m:oMath>
      <w:r>
        <w:t xml:space="preserve"> </w:t>
      </w:r>
      <w:r>
        <w:rPr>
          <w:rFonts w:hint="eastAsia"/>
        </w:rPr>
        <w:t xml:space="preserve">一端接节点①、另一端接节点②；</w:t>
      </w:r>
      <m:oMath>
        <m:sSub>
          <m:e>
            <m:r>
              <m:t>R</m:t>
            </m:r>
          </m:e>
          <m:sub>
            <m:r>
              <m:t>2</m:t>
            </m:r>
          </m:sub>
        </m:sSub>
      </m:oMath>
      <w:r>
        <w:t xml:space="preserve"> </w:t>
      </w:r>
      <w:r>
        <w:rPr>
          <w:rFonts w:hint="eastAsia"/>
        </w:rPr>
        <w:t xml:space="preserve">一端接节点③、另一端接</w:t>
      </w:r>
      <w:r>
        <w:t xml:space="preserve"> </w:t>
      </w:r>
      <w:r>
        <w:rPr>
          <w:rFonts w:hint="eastAsia"/>
        </w:rPr>
        <w:t xml:space="preserve">+VCC（或作分压/上拉）；</w:t>
      </w:r>
      <w:r>
        <w:rPr>
          <w:b/>
          <w:bCs/>
        </w:rPr>
        <w:t xml:space="preserve">A1</w:t>
      </w:r>
      <w:r>
        <w:t xml:space="preserve"> </w:t>
      </w:r>
      <w:r>
        <w:rPr>
          <w:rFonts w:hint="eastAsia"/>
        </w:rPr>
        <w:t xml:space="preserve">的</w:t>
      </w:r>
      <w:r>
        <w:t xml:space="preserve"> IN+ </w:t>
      </w:r>
      <w:r>
        <w:rPr>
          <w:rFonts w:hint="eastAsia"/>
        </w:rPr>
        <w:t xml:space="preserve">接节点②、IN−</w:t>
      </w:r>
      <w:r>
        <w:t xml:space="preserve"> </w:t>
      </w:r>
      <w:r>
        <w:rPr>
          <w:rFonts w:hint="eastAsia"/>
        </w:rPr>
        <w:t xml:space="preserve">接节点③、OUT</w:t>
      </w:r>
      <w:r>
        <w:t xml:space="preserve"> </w:t>
      </w:r>
      <w:r>
        <w:rPr>
          <w:rFonts w:hint="eastAsia"/>
        </w:rPr>
        <w:t xml:space="preserve">接节点④、正电源脚</w:t>
      </w:r>
      <w:r>
        <w:t xml:space="preserve"> V+ </w:t>
      </w:r>
      <w:r>
        <w:rPr>
          <w:rFonts w:hint="eastAsia"/>
        </w:rPr>
        <w:t xml:space="preserve">接</w:t>
      </w:r>
      <w:r>
        <w:t xml:space="preserve"> </w:t>
      </w:r>
      <w:r>
        <w:rPr>
          <w:rFonts w:hint="eastAsia"/>
        </w:rPr>
        <w:t xml:space="preserve">+VCC、负电源脚</w:t>
      </w:r>
      <w:r>
        <w:t xml:space="preserve"> V− </w:t>
      </w:r>
      <w:r>
        <w:rPr>
          <w:rFonts w:hint="eastAsia"/>
        </w:rPr>
        <w:t xml:space="preserve">接地；</w:t>
      </w:r>
      <w:r>
        <w:rPr>
          <w:b/>
          <w:bCs/>
        </w:rPr>
        <w:t xml:space="preserve">MCU</w:t>
      </w:r>
      <w:r>
        <w:t xml:space="preserve"> </w:t>
      </w:r>
      <w:r>
        <w:rPr>
          <w:rFonts w:hint="eastAsia"/>
        </w:rPr>
        <w:t xml:space="preserve">的定时器/外部中断/GPIO</w:t>
      </w:r>
      <w:r>
        <w:t xml:space="preserve"> </w:t>
      </w:r>
      <w:r>
        <w:rPr>
          <w:rFonts w:hint="eastAsia"/>
        </w:rPr>
        <w:t xml:space="preserve">输入脚接节点④，对脉冲计数并按仪表系数</w:t>
      </w:r>
      <w:r>
        <w:t xml:space="preserve"> </w:t>
      </w:r>
      <m:oMath>
        <m:r>
          <m:t>K</m:t>
        </m:r>
      </m:oMath>
      <w:r>
        <w:t xml:space="preserve"> </w:t>
      </w:r>
      <w:r>
        <w:rPr>
          <w:rFonts w:hint="eastAsia"/>
        </w:rPr>
        <w:t xml:space="preserve">换算流量。</w:t>
      </w:r>
    </w:p>
    <w:p>
      <w:pPr/>
      <w:r>
        <w:rPr>
          <w:rFonts w:hint="eastAsia"/>
        </w:rPr>
        <w:t xml:space="preserve">由此构成”涡轮-霍尔（或热式/超声/电磁）传感元件输出与流速成正比的脉冲或信号，经放大整形成数字脉冲，MCU</w:t>
      </w:r>
      <w:r>
        <w:t xml:space="preserve"> </w:t>
      </w:r>
      <w:r>
        <w:rPr>
          <w:rFonts w:hint="eastAsia"/>
        </w:rPr>
        <w:t xml:space="preserve">计频后按仪表系数</w:t>
      </w:r>
      <w:r>
        <w:t xml:space="preserve"> </w:t>
      </w:r>
      <m:oMath>
        <m:r>
          <m:t>K</m:t>
        </m:r>
      </m:oMath>
      <w:r>
        <w:t xml:space="preserve"> </w:t>
      </w:r>
      <w:r>
        <w:rPr>
          <w:rFonts w:hint="eastAsia"/>
        </w:rPr>
        <w:t xml:space="preserve">换算流量”的流量测量组态，其脉冲频率与流量成正比，</w:t>
      </w:r>
      <m:oMath>
        <m:r>
          <m:t>Q</m:t>
        </m:r>
        <m:r>
          <m:rPr>
            <m:sty m:val="p"/>
          </m:rPr>
          <m:t>=</m:t>
        </m:r>
        <m:r>
          <m:t>K</m:t>
        </m:r>
        <m:r>
          <m:t> </m:t>
        </m:r>
        <m:r>
          <m:t>f</m:t>
        </m:r>
      </m:oMath>
      <w:r>
        <w:t xml:space="preserve">。</w:t>
      </w:r>
    </w:p>
    <w:bookmarkEnd w:id="19"/>
    <w:bookmarkStart w:id="20" w:name="工作原理"/>
    <w:p>
      <w:pPr>
        <w:pStyle w:val="Heading2"/>
      </w:pPr>
      <w:r>
        <w:rPr>
          <w:rFonts w:hint="eastAsia"/>
        </w:rPr>
        <w:t xml:space="preserve">工作原理</w:t>
      </w:r>
    </w:p>
    <w:p>
      <w:pPr>
        <w:pStyle w:val="FirstParagraph"/>
      </w:pPr>
      <w:r>
        <w:rPr>
          <w:rFonts w:hint="eastAsia"/>
        </w:rPr>
        <w:t xml:space="preserve">涡轮/霍尔式由水流推动叶轮，叶片掠过霍尔元件产生脉冲，脉冲频率与流速成正比；热式利用流体带走热量使加热电阻变化；超声波式测顺逆流传播时间差。MCU</w:t>
      </w:r>
      <w:r>
        <w:t xml:space="preserve"> </w:t>
      </w:r>
      <w:r>
        <w:rPr>
          <w:rFonts w:hint="eastAsia"/>
        </w:rPr>
        <w:t xml:space="preserve">由频率/时间/阻值换算流量。</w:t>
      </w:r>
    </w:p>
    <w:bookmarkEnd w:id="20"/>
    <w:bookmarkStart w:id="21" w:name="关键计算公式"/>
    <w:p>
      <w:pPr>
        <w:pStyle w:val="Heading2"/>
      </w:pPr>
      <w:r>
        <w:rPr>
          <w:rFonts w:hint="eastAsia"/>
        </w:rPr>
        <w:t xml:space="preserve">关键计算公式</w:t>
      </w:r>
    </w:p>
    <w:p>
      <w:pPr>
        <w:numPr>
          <w:ilvl w:val="0"/>
          <w:numId w:val="1001"/>
        </w:numPr>
      </w:pPr>
      <w:r>
        <w:rPr>
          <w:rFonts w:hint="eastAsia"/>
        </w:rPr>
        <w:t xml:space="preserve">涡轮式流量与脉冲频率：</w:t>
      </w:r>
    </w:p>
    <w:p>
      <w:pPr>
        <w:spacing w:before="120" w:after="120"/>
        <w:jc w:val="center"/>
      </w:pPr>
      <m:oMathPara>
        <m:oMathParaPr>
          <m:jc m:val="center"/>
        </m:oMathParaPr>
        <m:oMath>
          <m:r>
            <m:t>Q</m:t>
          </m:r>
          <m:r>
            <m:rPr>
              <m:sty m:val="p"/>
            </m:rPr>
            <m:t>=</m:t>
          </m:r>
          <m:r>
            <m:t>K</m:t>
          </m:r>
          <m:r>
            <m:rPr>
              <m:sty m:val="p"/>
            </m:rPr>
            <m:t>⋅</m:t>
          </m:r>
          <m:r>
            <m:t>f</m:t>
          </m:r>
        </m:oMath>
      </m:oMathPara>
    </w:p>
    <w:p>
      <w:pPr>
        <w:numPr>
          <w:ilvl w:val="0"/>
          <w:numId w:val="1001"/>
        </w:numPr>
      </w:pPr>
      <w:r>
        <w:rPr>
          <w:rFonts w:hint="eastAsia"/>
        </w:rPr>
        <w:t xml:space="preserve">霍尔式叶轮转速：</w:t>
      </w:r>
    </w:p>
    <w:p>
      <w:pPr>
        <w:spacing w:before="120" w:after="120"/>
        <w:jc w:val="center"/>
      </w:pPr>
      <m:oMathPara>
        <m:oMathParaPr>
          <m:jc m:val="center"/>
        </m:oMathParaPr>
        <m:oMath>
          <m:r>
            <m:t>n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f</m:t>
              </m:r>
            </m:num>
            <m:den>
              <m:sSub>
                <m:e>
                  <m:r>
                    <m:t>N</m:t>
                  </m:r>
                </m:e>
                <m:sub>
                  <m:r>
                    <m:rPr>
                      <m:nor/>
                      <m:sty m:val="p"/>
                    </m:rPr>
                    <m:t>blade</m:t>
                  </m:r>
                </m:sub>
              </m:sSub>
            </m:den>
          </m:f>
        </m:oMath>
      </m:oMathPara>
    </w:p>
    <w:p>
      <w:pPr>
        <w:numPr>
          <w:ilvl w:val="0"/>
          <w:numId w:val="1001"/>
        </w:numPr>
      </w:pPr>
      <w:r>
        <w:rPr>
          <w:rFonts w:hint="eastAsia"/>
        </w:rPr>
        <w:t xml:space="preserve">超声波时差法流速：</w:t>
      </w:r>
    </w:p>
    <w:p>
      <w:pPr>
        <w:spacing w:before="120" w:after="120"/>
        <w:jc w:val="center"/>
      </w:pPr>
      <m:oMathPara>
        <m:oMathParaPr>
          <m:jc m:val="center"/>
        </m:oMathParaPr>
        <m:oMath>
          <m:r>
            <m:t>v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L</m:t>
              </m:r>
            </m:num>
            <m:den>
              <m:r>
                <m:t>2</m:t>
              </m:r>
              <m:r>
                <m:rPr>
                  <m:sty m:val="p"/>
                </m:rPr>
                <m:t>cos</m:t>
              </m:r>
              <m:r>
                <m:t>α</m:t>
              </m:r>
            </m:den>
          </m:f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t</m:t>
                      </m:r>
                    </m:e>
                    <m:sub>
                      <m:r>
                        <m:t>1</m:t>
                      </m:r>
                    </m:sub>
                  </m:sSub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t</m:t>
                      </m:r>
                    </m:e>
                    <m:sub>
                      <m:r>
                        <m:t>2</m:t>
                      </m:r>
                    </m:sub>
                  </m:sSub>
                </m:den>
              </m:f>
            </m:e>
          </m:d>
        </m:oMath>
      </m:oMathPara>
    </w:p>
    <w:p>
      <w:pPr>
        <w:numPr>
          <w:ilvl w:val="0"/>
          <w:numId w:val="1001"/>
        </w:numPr>
      </w:pPr>
      <w:r>
        <w:rPr>
          <w:rFonts w:hint="eastAsia"/>
        </w:rPr>
        <w:t xml:space="preserve">流量（管道截面积）：</w:t>
      </w:r>
    </w:p>
    <w:p>
      <w:pPr>
        <w:spacing w:before="120" w:after="120"/>
        <w:jc w:val="center"/>
      </w:pPr>
      <m:oMathPara>
        <m:oMathParaPr>
          <m:jc m:val="center"/>
        </m:oMathParaPr>
        <m:oMath>
          <m:r>
            <m:t>Q</m:t>
          </m:r>
          <m:r>
            <m:rPr>
              <m:sty m:val="p"/>
            </m:rPr>
            <m:t>=</m:t>
          </m:r>
          <m:r>
            <m:t>v</m:t>
          </m:r>
          <m:r>
            <m:rPr>
              <m:sty m:val="p"/>
            </m:rPr>
            <m:t>⋅</m:t>
          </m:r>
          <m:r>
            <m:t>A</m:t>
          </m:r>
        </m:oMath>
      </m:oMathPara>
    </w:p>
    <w:tbl>
      <w:tblPr>
        <w:tblStyle w:val="Table"/>
        <w:tblW w:type="auto" w:w="0"/>
        <w:tblLook w:firstRow="1" w:lastRow="0" w:firstColumn="0" w:lastColumn="0" w:noHBand="0" w:noVBand="0" w:val="0020"/>
        <w:tblBorders>
          <w:top w:val="single" w:sz="4" w:space="0" w:color="808080"/>
          <w:left w:val="single" w:sz="4" w:space="0" w:color="808080"/>
          <w:bottom w:val="single" w:sz="4" w:space="0" w:color="808080"/>
          <w:right w:val="single" w:sz="4" w:space="0" w:color="808080"/>
          <w:insideH w:val="single" w:sz="4" w:space="0" w:color="808080"/>
          <w:insideV w:val="single" w:sz="4" w:space="0" w:color="808080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符号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含义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单位</w:t>
            </w:r>
          </w:p>
        </w:tc>
      </w:tr>
      <w:tr>
        <w:tc>
          <w:tcPr/>
          <w:p>
            <w:pPr>
              <w:pStyle w:val="Compact"/>
            </w:pPr>
            <m:oMath>
              <m:r>
                <m:t>Q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体积流量</w:t>
            </w:r>
          </w:p>
        </w:tc>
        <w:tc>
          <w:tcPr/>
          <w:p>
            <w:pPr>
              <w:pStyle w:val="Compact"/>
            </w:pPr>
            <w:r>
              <w:t xml:space="preserve">m³/s</w:t>
            </w:r>
          </w:p>
        </w:tc>
      </w:tr>
      <w:tr>
        <w:tc>
          <w:tcPr/>
          <w:p>
            <w:pPr>
              <w:pStyle w:val="Compact"/>
            </w:pPr>
            <m:oMath>
              <m:r>
                <m:t>K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仪表系数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m³/脉冲</w:t>
            </w:r>
          </w:p>
        </w:tc>
      </w:tr>
      <w:tr>
        <w:tc>
          <w:tcPr/>
          <w:p>
            <w:pPr>
              <w:pStyle w:val="Compact"/>
            </w:pPr>
            <m:oMath>
              <m:r>
                <m:t>f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脉冲/信号频率</w:t>
            </w:r>
          </w:p>
        </w:tc>
        <w:tc>
          <w:tcPr/>
          <w:p>
            <w:pPr>
              <w:pStyle w:val="Compact"/>
            </w:pPr>
            <w:r>
              <w:t xml:space="preserve">Hz</w:t>
            </w:r>
          </w:p>
        </w:tc>
      </w:tr>
      <w:tr>
        <w:tc>
          <w:tcPr/>
          <w:p>
            <w:pPr>
              <w:pStyle w:val="Compact"/>
            </w:pPr>
            <m:oMath>
              <m:r>
                <m:t>n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叶轮转速</w:t>
            </w:r>
          </w:p>
        </w:tc>
        <w:tc>
          <w:tcPr/>
          <w:p>
            <w:pPr>
              <w:pStyle w:val="Compact"/>
            </w:pPr>
            <w:r>
              <w:t xml:space="preserve">r/s</w:t>
            </w:r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N</m:t>
                  </m:r>
                </m:e>
                <m:sub>
                  <m:r>
                    <m:rPr>
                      <m:nor/>
                      <m:sty m:val="p"/>
                    </m:rPr>
                    <m:t>blade</m:t>
                  </m:r>
                </m:sub>
              </m:sSub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叶轮叶片数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无量纲</w:t>
            </w:r>
          </w:p>
        </w:tc>
      </w:tr>
      <w:tr>
        <w:tc>
          <w:tcPr/>
          <w:p>
            <w:pPr>
              <w:pStyle w:val="Compact"/>
            </w:pPr>
            <m:oMath>
              <m:r>
                <m:t>v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流速</w:t>
            </w:r>
          </w:p>
        </w:tc>
        <w:tc>
          <w:tcPr/>
          <w:p>
            <w:pPr>
              <w:pStyle w:val="Compact"/>
            </w:pPr>
            <w:r>
              <w:t xml:space="preserve">m/s</w:t>
            </w:r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t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t> </m:t>
              </m:r>
              <m:sSub>
                <m:e>
                  <m:r>
                    <m:t>t</m:t>
                  </m:r>
                </m:e>
                <m:sub>
                  <m:r>
                    <m:t>2</m:t>
                  </m:r>
                </m:sub>
              </m:sSub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顺、逆流传播时间</w:t>
            </w:r>
          </w:p>
        </w:tc>
        <w:tc>
          <w:tcPr/>
          <w:p>
            <w:pPr>
              <w:pStyle w:val="Compact"/>
            </w:pPr>
            <w:r>
              <w:t xml:space="preserve">s</w:t>
            </w:r>
          </w:p>
        </w:tc>
      </w:tr>
      <w:tr>
        <w:tc>
          <w:tcPr/>
          <w:p>
            <w:pPr>
              <w:pStyle w:val="Compact"/>
            </w:pPr>
            <m:oMath>
              <m:r>
                <m:t>A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管道截面积</w:t>
            </w:r>
          </w:p>
        </w:tc>
        <w:tc>
          <w:tcPr/>
          <w:p>
            <w:pPr>
              <w:pStyle w:val="Compact"/>
            </w:pPr>
            <w:r>
              <w:t xml:space="preserve">m²</w:t>
            </w:r>
          </w:p>
        </w:tc>
      </w:tr>
    </w:tbl>
    <w:bookmarkEnd w:id="21"/>
    <w:bookmarkStart w:id="22" w:name="元件调整影响"/>
    <w:p>
      <w:pPr>
        <w:pStyle w:val="Heading2"/>
      </w:pPr>
      <w:r>
        <w:rPr>
          <w:rFonts w:hint="eastAsia"/>
        </w:rPr>
        <w:t xml:space="preserve">元件调整影响</w:t>
      </w:r>
    </w:p>
    <w:p>
      <w:pPr>
        <w:pStyle w:val="Compact"/>
        <w:numPr>
          <w:ilvl w:val="0"/>
          <w:numId w:val="1002"/>
        </w:numPr>
      </w:pPr>
      <w:r>
        <w:rPr>
          <w:rFonts w:hint="eastAsia"/>
          <w:b/>
          <w:bCs/>
        </w:rPr>
        <w:t xml:space="preserve">仪表系数</w:t>
      </w:r>
      <w:r>
        <w:rPr>
          <w:b/>
          <w:bCs/>
        </w:rPr>
        <w:t xml:space="preserve"> </w:t>
      </w:r>
      <m:oMath>
        <m:r>
          <m:t>K</m:t>
        </m:r>
      </m:oMath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校准准确</w:t>
      </w:r>
      <w:r>
        <w:t xml:space="preserve"> </w:t>
      </w:r>
      <w:r>
        <w:t xml:space="preserve">→ </w:t>
      </w:r>
      <w:r>
        <w:rPr>
          <w:rFonts w:hint="eastAsia"/>
        </w:rPr>
        <w:t xml:space="preserve">流量换算更精确。</w:t>
      </w:r>
    </w:p>
    <w:p>
      <w:pPr>
        <w:pStyle w:val="Compact"/>
        <w:numPr>
          <w:ilvl w:val="0"/>
          <w:numId w:val="1002"/>
        </w:numPr>
      </w:pPr>
      <w:r>
        <w:rPr>
          <w:rFonts w:hint="eastAsia"/>
          <w:b/>
          <w:bCs/>
        </w:rPr>
        <w:t xml:space="preserve">霍尔灵敏度/放大增益提高</w:t>
      </w:r>
      <w:r>
        <w:t xml:space="preserve"> </w:t>
      </w:r>
      <w:r>
        <w:t xml:space="preserve">→ </w:t>
      </w:r>
      <w:r>
        <w:rPr>
          <w:rFonts w:hint="eastAsia"/>
        </w:rPr>
        <w:t xml:space="preserve">低流速弱信号更易检出。</w:t>
      </w:r>
    </w:p>
    <w:p>
      <w:pPr>
        <w:pStyle w:val="Compact"/>
        <w:numPr>
          <w:ilvl w:val="0"/>
          <w:numId w:val="1002"/>
        </w:numPr>
      </w:pPr>
      <w:r>
        <w:rPr>
          <w:rFonts w:hint="eastAsia"/>
          <w:b/>
          <w:bCs/>
        </w:rPr>
        <w:t xml:space="preserve">叶片数增多</w:t>
      </w:r>
      <w:r>
        <w:t xml:space="preserve"> </w:t>
      </w:r>
      <w:r>
        <w:t xml:space="preserve">→ </w:t>
      </w:r>
      <w:r>
        <w:rPr>
          <w:rFonts w:hint="eastAsia"/>
        </w:rPr>
        <w:t xml:space="preserve">每转脉冲数增多，分辨率提高。</w:t>
      </w:r>
    </w:p>
    <w:p>
      <w:pPr>
        <w:pStyle w:val="Compact"/>
        <w:numPr>
          <w:ilvl w:val="0"/>
          <w:numId w:val="1002"/>
        </w:numPr>
      </w:pPr>
      <w:r>
        <w:rPr>
          <w:rFonts w:hint="eastAsia"/>
          <w:b/>
          <w:bCs/>
        </w:rPr>
        <w:t xml:space="preserve">测量管径增大</w:t>
      </w:r>
      <w:r>
        <w:t xml:space="preserve"> </w:t>
      </w:r>
      <w:r>
        <w:t xml:space="preserve">→ </w:t>
      </w:r>
      <w:r>
        <w:rPr>
          <w:rFonts w:hint="eastAsia"/>
        </w:rPr>
        <w:t xml:space="preserve">相同流速下流量量程增大。</w:t>
      </w:r>
    </w:p>
    <w:bookmarkEnd w:id="22"/>
    <w:bookmarkStart w:id="23" w:name="典型参数示例"/>
    <w:p>
      <w:pPr>
        <w:pStyle w:val="Heading2"/>
      </w:pPr>
      <w:r>
        <w:rPr>
          <w:rFonts w:hint="eastAsia"/>
        </w:rPr>
        <w:t xml:space="preserve">典型参数示例</w:t>
      </w:r>
    </w:p>
    <w:p>
      <w:pPr>
        <w:pStyle w:val="Compact"/>
        <w:numPr>
          <w:ilvl w:val="0"/>
          <w:numId w:val="1003"/>
        </w:numPr>
      </w:pPr>
      <w:r>
        <w:rPr>
          <w:rFonts w:hint="eastAsia"/>
        </w:rPr>
        <w:t xml:space="preserve">涡轮式仪表系数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0.1</m:t>
        </m:r>
        <m:r>
          <m:t> </m:t>
        </m:r>
        <m:r>
          <m:rPr>
            <m:nor/>
            <m:sty m:val="p"/>
          </m:rPr>
          <m:t>L/脉冲</m:t>
        </m:r>
        <m:r>
          <m:rPr>
            <m:sty m:val="p"/>
          </m:rPr>
          <m:t>=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4</m:t>
            </m:r>
          </m:sup>
        </m:sSup>
        <m:r>
          <m:t> </m:t>
        </m:r>
        <m:sSup>
          <m:e>
            <m:r>
              <m:rPr>
                <m:nor/>
                <m:sty m:val="p"/>
              </m:rPr>
              <m:t>m</m:t>
            </m:r>
          </m:e>
          <m:sup>
            <m:r>
              <m:t>3</m:t>
            </m:r>
          </m:sup>
        </m:sSup>
        <m:r>
          <m:rPr>
            <m:sty m:val="p"/>
          </m:rPr>
          <m:t>/</m:t>
        </m:r>
        <m:r>
          <m:rPr>
            <m:nor/>
            <m:sty m:val="p"/>
          </m:rPr>
          <m:t>脉冲</m:t>
        </m:r>
      </m:oMath>
      <w:r>
        <w:rPr>
          <w:rFonts w:hint="eastAsia"/>
        </w:rPr>
        <w:t xml:space="preserve">，测得</w:t>
      </w:r>
      <w:r>
        <w:t xml:space="preserve"> </w:t>
      </w:r>
      <m:oMath>
        <m:r>
          <m:t>f</m:t>
        </m:r>
        <m:r>
          <m:rPr>
            <m:sty m:val="p"/>
          </m:rPr>
          <m:t>=</m:t>
        </m:r>
        <m:r>
          <m:t>50</m:t>
        </m:r>
        <m:r>
          <m:t> </m:t>
        </m:r>
        <m:r>
          <m:rPr>
            <m:nor/>
            <m:sty m:val="p"/>
          </m:rPr>
          <m:t>Hz</m:t>
        </m:r>
      </m:oMath>
      <w:r>
        <w:rPr>
          <w:rFonts w:hint="eastAsia"/>
        </w:rPr>
        <w:t xml:space="preserve">：</w:t>
      </w:r>
      <m:oMath>
        <m:r>
          <m:t>Q</m:t>
        </m:r>
        <m:r>
          <m:rPr>
            <m:sty m:val="p"/>
          </m:rPr>
          <m:t>=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4</m:t>
            </m:r>
          </m:sup>
        </m:sSup>
        <m:r>
          <m:rPr>
            <m:sty m:val="p"/>
          </m:rPr>
          <m:t>×</m:t>
        </m:r>
        <m:r>
          <m:t>50</m:t>
        </m:r>
        <m:r>
          <m:rPr>
            <m:sty m:val="p"/>
          </m:rPr>
          <m:t>=</m:t>
        </m:r>
        <m:r>
          <m:t>5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3</m:t>
            </m:r>
          </m:sup>
        </m:sSup>
        <m:r>
          <m:t> </m:t>
        </m:r>
        <m:sSup>
          <m:e>
            <m:r>
              <m:rPr>
                <m:nor/>
                <m:sty m:val="p"/>
              </m:rPr>
              <m:t>m</m:t>
            </m:r>
          </m:e>
          <m:sup>
            <m:r>
              <m:t>3</m:t>
            </m:r>
          </m:sup>
        </m:sSup>
        <m:r>
          <m:rPr>
            <m:sty m:val="p"/>
          </m:rPr>
          <m:t>/</m:t>
        </m:r>
        <m:r>
          <m:rPr>
            <m:nor/>
            <m:sty m:val="p"/>
          </m:rPr>
          <m:t>s</m:t>
        </m:r>
        <m:r>
          <m:rPr>
            <m:sty m:val="p"/>
          </m:rPr>
          <m:t>=</m:t>
        </m:r>
        <m:r>
          <m:t>5</m:t>
        </m:r>
        <m:r>
          <m:t> </m:t>
        </m:r>
        <m:r>
          <m:rPr>
            <m:nor/>
            <m:sty m:val="p"/>
          </m:rPr>
          <m:t>L/s</m:t>
        </m:r>
      </m:oMath>
      <w:r>
        <w:t xml:space="preserve">。</w:t>
      </w:r>
    </w:p>
    <w:p>
      <w:pPr>
        <w:pStyle w:val="Compact"/>
        <w:numPr>
          <w:ilvl w:val="0"/>
          <w:numId w:val="1003"/>
        </w:numPr>
      </w:pPr>
      <w:r>
        <w:rPr>
          <w:rFonts w:hint="eastAsia"/>
        </w:rPr>
        <w:t xml:space="preserve">叶轮</w:t>
      </w:r>
      <w:r>
        <w:t xml:space="preserve"> 4 </w:t>
      </w:r>
      <w:r>
        <w:rPr>
          <w:rFonts w:hint="eastAsia"/>
        </w:rPr>
        <w:t xml:space="preserve">叶片、脉冲频率</w:t>
      </w:r>
      <w:r>
        <w:t xml:space="preserve"> </w:t>
      </w:r>
      <m:oMath>
        <m:r>
          <m:t>f</m:t>
        </m:r>
        <m:r>
          <m:rPr>
            <m:sty m:val="p"/>
          </m:rPr>
          <m:t>=</m:t>
        </m:r>
        <m:r>
          <m:t>200</m:t>
        </m:r>
        <m:r>
          <m:t> </m:t>
        </m:r>
        <m:r>
          <m:rPr>
            <m:nor/>
            <m:sty m:val="p"/>
          </m:rPr>
          <m:t>Hz</m:t>
        </m:r>
      </m:oMath>
      <w:r>
        <w:rPr>
          <w:rFonts w:hint="eastAsia"/>
        </w:rPr>
        <w:t xml:space="preserve">：转速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200</m:t>
            </m:r>
          </m:num>
          <m:den>
            <m:r>
              <m:t>4</m:t>
            </m:r>
          </m:den>
        </m:f>
        <m:r>
          <m:rPr>
            <m:sty m:val="p"/>
          </m:rPr>
          <m:t>=</m:t>
        </m:r>
        <m:r>
          <m:t>50</m:t>
        </m:r>
        <m:r>
          <m:t> </m:t>
        </m:r>
        <m:r>
          <m:rPr>
            <m:nor/>
            <m:sty m:val="p"/>
          </m:rPr>
          <m:t>r/s</m:t>
        </m:r>
      </m:oMath>
      <w:r>
        <w:t xml:space="preserve">。</w:t>
      </w:r>
    </w:p>
    <w:bookmarkEnd w:id="23"/>
    <w:bookmarkStart w:id="24" w:name="常见器件型号"/>
    <w:p>
      <w:pPr>
        <w:pStyle w:val="Heading2"/>
      </w:pPr>
      <w:r>
        <w:rPr>
          <w:rFonts w:hint="eastAsia"/>
        </w:rPr>
        <w:t xml:space="preserve">常见器件型号</w:t>
      </w:r>
    </w:p>
    <w:p>
      <w:pPr>
        <w:pStyle w:val="Compact"/>
        <w:numPr>
          <w:ilvl w:val="0"/>
          <w:numId w:val="1004"/>
        </w:numPr>
      </w:pPr>
      <w:r>
        <w:rPr>
          <w:rFonts w:hint="eastAsia"/>
        </w:rPr>
        <w:t xml:space="preserve">霍尔式流量计：YF-S201、YF-S401（涡轮霍尔流量传感器）。</w:t>
      </w:r>
    </w:p>
    <w:p>
      <w:pPr>
        <w:pStyle w:val="Compact"/>
        <w:numPr>
          <w:ilvl w:val="0"/>
          <w:numId w:val="1004"/>
        </w:numPr>
      </w:pPr>
      <w:r>
        <w:rPr>
          <w:rFonts w:hint="eastAsia"/>
        </w:rPr>
        <w:t xml:space="preserve">霍尔元件：A3144。</w:t>
      </w:r>
    </w:p>
    <w:p>
      <w:pPr>
        <w:pStyle w:val="Compact"/>
        <w:numPr>
          <w:ilvl w:val="0"/>
          <w:numId w:val="1004"/>
        </w:numPr>
      </w:pPr>
      <w:r>
        <w:rPr>
          <w:rFonts w:hint="eastAsia"/>
        </w:rPr>
        <w:t xml:space="preserve">热式/质量流量传感器：常用：按需选型。</w:t>
      </w:r>
    </w:p>
    <w:bookmarkEnd w:id="24"/>
    <w:bookmarkStart w:id="25" w:name="注意事项"/>
    <w:p>
      <w:pPr>
        <w:pStyle w:val="Heading2"/>
      </w:pPr>
      <w:r>
        <w:rPr>
          <w:rFonts w:hint="eastAsia"/>
        </w:rPr>
        <w:t xml:space="preserve">注意事项</w:t>
      </w:r>
    </w:p>
    <w:p>
      <w:pPr>
        <w:pStyle w:val="Compact"/>
        <w:numPr>
          <w:ilvl w:val="0"/>
          <w:numId w:val="1005"/>
        </w:numPr>
      </w:pPr>
      <w:r>
        <w:rPr>
          <w:rFonts w:hint="eastAsia"/>
        </w:rPr>
        <w:t xml:space="preserve">流量计需按实际流体标定，仪表系数随黏度/温度变化。</w:t>
      </w:r>
    </w:p>
    <w:p>
      <w:pPr>
        <w:pStyle w:val="Compact"/>
        <w:numPr>
          <w:ilvl w:val="0"/>
          <w:numId w:val="1005"/>
        </w:numPr>
      </w:pPr>
      <w:r>
        <w:rPr>
          <w:rFonts w:hint="eastAsia"/>
        </w:rPr>
        <w:t xml:space="preserve">气泡、杂质会干扰叶轮转动与超声波传播，需排气与过滤。</w:t>
      </w:r>
    </w:p>
    <w:p>
      <w:pPr>
        <w:pStyle w:val="Compact"/>
        <w:numPr>
          <w:ilvl w:val="0"/>
          <w:numId w:val="1005"/>
        </w:numPr>
      </w:pPr>
      <w:r>
        <w:rPr>
          <w:rFonts w:hint="eastAsia"/>
        </w:rPr>
        <w:t xml:space="preserve">霍尔式输出为脉冲频率，需用定时器计数并做滤波防抖。</w:t>
      </w:r>
    </w:p>
    <w:bookmarkEnd w:id="25"/>
    <w:bookmarkStart w:id="26" w:name="参考资料"/>
    <w:p>
      <w:pPr>
        <w:pStyle w:val="Heading2"/>
      </w:pPr>
      <w:r>
        <w:rPr>
          <w:rFonts w:hint="eastAsia"/>
        </w:rPr>
        <w:t xml:space="preserve">参考资料</w:t>
      </w:r>
    </w:p>
    <w:p>
      <w:pPr>
        <w:pStyle w:val="Compact"/>
        <w:numPr>
          <w:ilvl w:val="0"/>
          <w:numId w:val="1006"/>
        </w:numPr>
      </w:pPr>
      <w:r>
        <w:t xml:space="preserve">Wikipedia: Flow measurement / Flow sensor。</w:t>
      </w:r>
    </w:p>
    <w:p>
      <w:pPr>
        <w:pStyle w:val="Compact"/>
        <w:numPr>
          <w:ilvl w:val="0"/>
          <w:numId w:val="1006"/>
        </w:numPr>
      </w:pPr>
      <w:r>
        <w:t xml:space="preserve">YF-S201 </w:t>
      </w:r>
      <w:r>
        <w:rPr>
          <w:rFonts w:hint="eastAsia"/>
        </w:rPr>
        <w:t xml:space="preserve">数据手册。</w:t>
      </w:r>
    </w:p>
    <w:p>
      <w:pPr>
        <w:pStyle w:val="Compact"/>
        <w:numPr>
          <w:ilvl w:val="0"/>
          <w:numId w:val="1006"/>
        </w:numPr>
      </w:pPr>
      <w:r>
        <w:rPr>
          <w:rFonts w:hint="eastAsia"/>
        </w:rPr>
        <w:t xml:space="preserve">《传感器与检测技术》教材。</w:t>
      </w:r>
    </w:p>
    <w:bookmarkEnd w:id="26"/>
    <w:bookmarkEnd w:id="27"/>
    <w:p>
      <w:pPr>
        <w:spacing w:before="360"/>
        <w:jc w:val="center"/>
      </w:pPr>
      <w:r>
        <w:rPr>
          <w:rFonts w:ascii="Times New Roman" w:hAnsi="Times New Roman"/>
          <w:color w:val="555555"/>
          <w:sz w:val="21"/>
        </w:rPr>
        <w:t>材料收集者：杜文杰</w:t>
      </w:r>
    </w:p>
    <w:sectPr w:rsidR="00FC693F" w:rsidRPr="0006063C" w:rsidSect="00034616">
      <w:headerReference r:id="rId9" w:type="default"/>
      <w:footerReference r:id="rId10" w:type="default"/>
      <w:pgSz w:h="16838" w:w="11906"/>
      <w:pgMar w:bottom="1134" w:footer="720" w:gutter="0" w:header="720" w:left="1361" w:right="1361" w:top="1247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sz w:val="18"/>
      </w:rPr>
      <w:t xml:space="preserve">第 </w:t>
    </w:r>
    <w:r>
      <w:rPr>
        <w:sz w:val="18"/>
      </w:rPr>
      <w:fldChar w:fldCharType="begin"/>
      <w:instrText xml:space="preserve">PAGE</w:instrText>
      <w:fldChar w:fldCharType="end"/>
    </w:r>
    <w:r>
      <w:rPr>
        <w:sz w:val="18"/>
      </w:rPr>
      <w:t xml:space="preserve"> 页</w:t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center"/>
    </w:pPr>
    <w:r>
      <w:rPr>
        <w:rFonts w:ascii="Times New Roman" w:hAnsi="Times New Roman"/>
        <w:sz w:val="18"/>
        <w:rFonts w:eastAsia="黑体"/>
        <w:rFonts w:eastAsia="黑体"/>
      </w:rPr>
      <w:t>流量传感器电路</w:t>
    </w:r>
  </w:p>
</w:hdr>
</file>

<file path=word/numbering.xml><?xml version="1.0" encoding="utf-8"?>
<w:numbering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pos="1800" w:val="num"/>
        </w:tabs>
        <w:ind w:hanging="360" w:left="180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pos="1440" w:val="num"/>
        </w:tabs>
        <w:ind w:hanging="360" w:left="144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pos="1080" w:val="num"/>
        </w:tabs>
        <w:ind w:hanging="360" w:left="108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pos="720" w:val="num"/>
        </w:tabs>
        <w:ind w:hanging="360" w:left="72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pos="360" w:val="num"/>
        </w:tabs>
        <w:ind w:hanging="360" w:left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val="bestFit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w:themeFontLang w:eastAsia="ja-JP"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oNotAutoCompressPictures/>
  <w:shapeDefaults>
    <o:shapedefaults spidmax="1027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cstheme="minorBidi" w:eastAsiaTheme="minorEastAsia" w:hAnsiTheme="minorHAnsi"/>
        <w:sz w:val="22"/>
        <w:szCs w:val="22"/>
        <w:lang w:bidi="ar-SA" w:eastAsia="en-US" w:val="en-US"/>
      </w:rPr>
    </w:rPrDefault>
    <w:pPrDefault>
      <w:pPr>
        <w:spacing w:after="200" w:line="276" w:lineRule="auto"/>
      </w:pPr>
    </w:pPrDefault>
  </w:docDefaults>
  <w:latentStyles w:count="276" w:defLockedState="0" w:defQFormat="0" w:defSemiHidden="1" w:defUIPriority="99" w:defUnhideWhenUsed="1">
    <w:lsdException w:name="Normal" w:qFormat="1" w:semiHidden="0" w:uiPriority="0" w:unhideWhenUsed="0"/>
    <w:lsdException w:name="heading 1" w:qFormat="1" w:semiHidden="0" w:uiPriority="9" w:unhideWhenUsed="0"/>
    <w:lsdException w:name="heading 2" w:qFormat="1" w:uiPriority="9"/>
    <w:lsdException w:name="heading 3" w:qFormat="1" w:uiPriority="9"/>
    <w:lsdException w:name="heading 4" w:qFormat="1" w:uiPriority="9"/>
    <w:lsdException w:name="heading 5" w:qFormat="1" w:uiPriority="9"/>
    <w:lsdException w:name="heading 6" w:qFormat="1" w:uiPriority="9"/>
    <w:lsdException w:name="heading 7" w:qFormat="1" w:uiPriority="9"/>
    <w:lsdException w:name="heading 8" w:qFormat="1" w:uiPriority="9"/>
    <w:lsdException w:name="heading 9" w:qFormat="1" w:uiPriority="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qFormat="1" w:uiPriority="35"/>
    <w:lsdException w:name="Title" w:qFormat="1" w:semiHidden="0" w:uiPriority="10" w:unhideWhenUsed="0"/>
    <w:lsdException w:name="Default Paragraph Font" w:uiPriority="1"/>
    <w:lsdException w:name="Subtitle" w:qFormat="1" w:semiHidden="0" w:uiPriority="11" w:unhideWhenUsed="0"/>
    <w:lsdException w:name="Strong" w:qFormat="1" w:semiHidden="0" w:uiPriority="22" w:unhideWhenUsed="0"/>
    <w:lsdException w:name="Emphasis" w:qFormat="1" w:semiHidden="0" w:uiPriority="20" w:unhideWhenUsed="0"/>
    <w:lsdException w:name="Table Grid" w:semiHidden="0" w:uiPriority="59" w:unhideWhenUsed="0"/>
    <w:lsdException w:name="Placeholder Text" w:unhideWhenUsed="0"/>
    <w:lsdException w:name="No Spacing" w:qFormat="1" w:semiHidden="0" w:uiPriority="1" w:unhideWhenUsed="0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qFormat="1" w:semiHidden="0" w:uiPriority="34" w:unhideWhenUsed="0"/>
    <w:lsdException w:name="Quote" w:qFormat="1" w:semiHidden="0" w:uiPriority="29" w:unhideWhenUsed="0"/>
    <w:lsdException w:name="Intense Quote" w:qFormat="1" w:semiHidden="0" w:uiPriority="30" w:unhideWhenUsed="0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qFormat="1" w:semiHidden="0" w:uiPriority="19" w:unhideWhenUsed="0"/>
    <w:lsdException w:name="Intense Emphasis" w:qFormat="1" w:semiHidden="0" w:uiPriority="21" w:unhideWhenUsed="0"/>
    <w:lsdException w:name="Subtle Reference" w:qFormat="1" w:semiHidden="0" w:uiPriority="31" w:unhideWhenUsed="0"/>
    <w:lsdException w:name="Intense Reference" w:qFormat="1" w:semiHidden="0" w:uiPriority="32" w:unhideWhenUsed="0"/>
    <w:lsdException w:name="Book Title" w:qFormat="1" w:semiHidden="0" w:uiPriority="33" w:unhideWhenUsed="0"/>
    <w:lsdException w:name="Bibliography" w:uiPriority="37"/>
    <w:lsdException w:name="TOC Heading" w:qFormat="1" w:uiPriority="39"/>
  </w:latentStyles>
  <w:style w:default="1" w:styleId="Normal" w:type="paragraph">
    <w:name w:val="Normal"/>
    <w:qFormat/>
    <w:rsid w:val="00FC693F"/>
    <w:pPr>
      <w:spacing w:after="80" w:line="300" w:lineRule="auto"/>
    </w:pPr>
    <w:rPr>
      <w:rFonts w:ascii="Times New Roman" w:eastAsia="黑体" w:hAnsi="Times New Roman"/>
      <w:sz w:val="22"/>
    </w:rPr>
  </w:style>
  <w:style w:styleId="Header" w:type="paragraph">
    <w:name w:val="header"/>
    <w:basedOn w:val="Normal"/>
    <w:link w:val="Head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HeaderChar" w:type="character">
    <w:name w:val="Header Char"/>
    <w:basedOn w:val="DefaultParagraphFont"/>
    <w:link w:val="Header"/>
    <w:uiPriority w:val="99"/>
    <w:rsid w:val="00E618BF"/>
  </w:style>
  <w:style w:styleId="Footer" w:type="paragraph">
    <w:name w:val="footer"/>
    <w:basedOn w:val="Normal"/>
    <w:link w:val="Foot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FooterChar" w:type="character">
    <w:name w:val="Footer Char"/>
    <w:basedOn w:val="DefaultParagraphFont"/>
    <w:link w:val="Footer"/>
    <w:uiPriority w:val="99"/>
    <w:rsid w:val="00E618BF"/>
  </w:style>
  <w:style w:styleId="Heading1" w:type="paragraph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after="160" w:before="280"/>
      <w:outlineLvl w:val="0"/>
    </w:pPr>
    <w:rPr>
      <w:rFonts w:ascii="Times New Roman" w:asciiTheme="majorHAnsi" w:cstheme="majorBidi" w:eastAsia="黑体" w:eastAsiaTheme="majorEastAsia" w:hAnsi="Times New Roman" w:hAnsiTheme="majorHAnsi"/>
      <w:b/>
      <w:bCs/>
      <w:color w:val="1F3864"/>
      <w:sz w:val="32"/>
      <w:szCs w:val="28"/>
    </w:rPr>
  </w:style>
  <w:style w:styleId="Heading2" w:type="paragraph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after="120" w:before="240"/>
      <w:outlineLvl w:val="1"/>
    </w:pPr>
    <w:rPr>
      <w:rFonts w:ascii="Times New Roman" w:asciiTheme="majorHAnsi" w:cstheme="majorBidi" w:eastAsia="黑体" w:eastAsiaTheme="majorEastAsia" w:hAnsi="Times New Roman" w:hAnsiTheme="majorHAnsi"/>
      <w:b/>
      <w:bCs/>
      <w:color w:val="2E4E7E"/>
      <w:sz w:val="28"/>
      <w:szCs w:val="26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after="120" w:before="200"/>
      <w:outlineLvl w:val="2"/>
    </w:pPr>
    <w:rPr>
      <w:rFonts w:ascii="Times New Roman" w:asciiTheme="majorHAnsi" w:cstheme="majorBidi" w:eastAsia="黑体" w:eastAsiaTheme="majorEastAsia" w:hAnsi="Times New Roman" w:hAnsiTheme="majorHAnsi"/>
      <w:b/>
      <w:bCs/>
      <w:color w:val="2E4E7E"/>
      <w:sz w:val="24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after="80" w:before="160"/>
      <w:outlineLvl w:val="3"/>
    </w:pPr>
    <w:rPr>
      <w:rFonts w:ascii="Times New Roman" w:asciiTheme="majorHAnsi" w:cstheme="majorBidi" w:eastAsia="黑体" w:eastAsiaTheme="majorEastAsia" w:hAnsi="Times New Roman" w:hAnsiTheme="majorHAnsi"/>
      <w:b/>
      <w:bCs/>
      <w:i/>
      <w:iCs/>
      <w:color w:val="333333"/>
      <w:sz w:val="22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after="60" w:before="120"/>
      <w:outlineLvl w:val="4"/>
    </w:pPr>
    <w:rPr>
      <w:rFonts w:ascii="Times New Roman" w:asciiTheme="majorHAnsi" w:cstheme="majorBidi" w:eastAsia="黑体" w:eastAsiaTheme="majorEastAsia" w:hAnsi="Times New Roman" w:hAnsiTheme="majorHAnsi"/>
      <w:b/>
      <w:color w:val="333333"/>
      <w:sz w:val="22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i/>
      <w:iCs/>
      <w:color w:themeColor="accent1" w:themeShade="7F" w:val="243F60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i/>
      <w:iCs/>
      <w:color w:themeColor="text1" w:themeTint="BF" w:val="404040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NoSpacing" w:type="paragraph">
    <w:name w:val="No Spacing"/>
    <w:uiPriority w:val="1"/>
    <w:qFormat/>
    <w:rsid w:val="00FC693F"/>
    <w:pPr>
      <w:spacing w:after="0" w:line="240" w:lineRule="auto"/>
    </w:pPr>
  </w:style>
  <w:style w:customStyle="1" w:styleId="Heading1Char" w:type="character">
    <w:name w:val="Heading 1 Char"/>
    <w:basedOn w:val="DefaultParagraphFont"/>
    <w:link w:val="Heading1"/>
    <w:uiPriority w:val="9"/>
    <w:rsid w:val="00FC693F"/>
    <w:rPr>
      <w:rFonts w:asciiTheme="majorHAnsi" w:cstheme="majorBidi" w:eastAsiaTheme="majorEastAsia" w:hAnsiTheme="majorHAnsi"/>
      <w:b/>
      <w:bCs/>
      <w:color w:themeColor="accent1" w:themeShade="BF" w:val="365F91"/>
      <w:sz w:val="28"/>
      <w:szCs w:val="28"/>
    </w:rPr>
  </w:style>
  <w:style w:customStyle="1" w:styleId="Heading2Char" w:type="character">
    <w:name w:val="Heading 2 Char"/>
    <w:basedOn w:val="DefaultParagraphFont"/>
    <w:link w:val="Heading2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  <w:sz w:val="26"/>
      <w:szCs w:val="26"/>
    </w:rPr>
  </w:style>
  <w:style w:customStyle="1" w:styleId="Heading3Char" w:type="character">
    <w:name w:val="Heading 3 Char"/>
    <w:basedOn w:val="DefaultParagraphFont"/>
    <w:link w:val="Heading3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</w:rPr>
  </w:style>
  <w:style w:styleId="Title" w:type="paragraph">
    <w:name w:val="Title"/>
    <w:basedOn w:val="Normal"/>
    <w:next w:val="Normal"/>
    <w:link w:val="TitleChar"/>
    <w:uiPriority w:val="10"/>
    <w:qFormat/>
    <w:rsid w:val="00FC693F"/>
    <w:pPr>
      <w:keepNext/>
      <w:pBdr>
        <w:bottom w:color="4F81BD" w:space="4" w:sz="8" w:themeColor="accent1" w:val="single"/>
      </w:pBdr>
      <w:spacing w:after="160" w:before="280" w:line="240" w:lineRule="auto"/>
      <w:contextualSpacing/>
    </w:pPr>
    <w:rPr>
      <w:rFonts w:ascii="Times New Roman" w:asciiTheme="majorHAnsi" w:cstheme="majorBidi" w:eastAsia="黑体" w:eastAsiaTheme="majorEastAsia" w:hAnsi="Times New Roman" w:hAnsiTheme="majorHAnsi"/>
      <w:b/>
      <w:color w:val="1F3864"/>
      <w:spacing w:val="5"/>
      <w:kern w:val="28"/>
      <w:sz w:val="44"/>
      <w:szCs w:val="52"/>
    </w:rPr>
  </w:style>
  <w:style w:customStyle="1" w:styleId="TitleChar" w:type="character">
    <w:name w:val="Title Char"/>
    <w:basedOn w:val="DefaultParagraphFont"/>
    <w:link w:val="Title"/>
    <w:uiPriority w:val="10"/>
    <w:rsid w:val="00FC693F"/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styleId="Subtitle" w:type="paragraph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customStyle="1" w:styleId="SubtitleChar" w:type="character">
    <w:name w:val="Subtitle Char"/>
    <w:basedOn w:val="DefaultParagraphFont"/>
    <w:link w:val="Subtitle"/>
    <w:uiPriority w:val="11"/>
    <w:rsid w:val="00FC693F"/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styleId="ListParagraph" w:type="paragraph">
    <w:name w:val="List Paragraph"/>
    <w:basedOn w:val="Normal"/>
    <w:uiPriority w:val="34"/>
    <w:qFormat/>
    <w:rsid w:val="00FC693F"/>
    <w:pPr>
      <w:ind w:left="720"/>
      <w:contextualSpacing/>
    </w:pPr>
  </w:style>
  <w:style w:styleId="BodyText" w:type="paragraph">
    <w:name w:val="Body Text"/>
    <w:basedOn w:val="Normal"/>
    <w:link w:val="BodyTextChar"/>
    <w:uiPriority w:val="99"/>
    <w:unhideWhenUsed/>
    <w:rsid w:val="00AA1D8D"/>
    <w:pPr>
      <w:spacing w:after="120"/>
    </w:pPr>
  </w:style>
  <w:style w:customStyle="1" w:styleId="BodyTextChar" w:type="character">
    <w:name w:val="Body Text Char"/>
    <w:basedOn w:val="DefaultParagraphFont"/>
    <w:link w:val="BodyText"/>
    <w:uiPriority w:val="99"/>
    <w:rsid w:val="00AA1D8D"/>
  </w:style>
  <w:style w:styleId="BodyText2" w:type="paragraph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customStyle="1" w:styleId="BodyText2Char" w:type="character">
    <w:name w:val="Body Text 2 Char"/>
    <w:basedOn w:val="DefaultParagraphFont"/>
    <w:link w:val="BodyText2"/>
    <w:uiPriority w:val="99"/>
    <w:rsid w:val="00AA1D8D"/>
  </w:style>
  <w:style w:styleId="BodyText3" w:type="paragraph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customStyle="1" w:styleId="BodyText3Char" w:type="characte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styleId="List" w:type="paragraph">
    <w:name w:val="List"/>
    <w:basedOn w:val="Normal"/>
    <w:uiPriority w:val="99"/>
    <w:unhideWhenUsed/>
    <w:rsid w:val="00AA1D8D"/>
    <w:pPr>
      <w:ind w:hanging="360" w:left="360"/>
      <w:contextualSpacing/>
    </w:pPr>
  </w:style>
  <w:style w:styleId="List2" w:type="paragraph">
    <w:name w:val="List 2"/>
    <w:basedOn w:val="Normal"/>
    <w:uiPriority w:val="99"/>
    <w:unhideWhenUsed/>
    <w:rsid w:val="00326F90"/>
    <w:pPr>
      <w:ind w:hanging="360" w:left="720"/>
      <w:contextualSpacing/>
    </w:pPr>
  </w:style>
  <w:style w:styleId="List3" w:type="paragraph">
    <w:name w:val="List 3"/>
    <w:basedOn w:val="Normal"/>
    <w:uiPriority w:val="99"/>
    <w:unhideWhenUsed/>
    <w:rsid w:val="00326F90"/>
    <w:pPr>
      <w:ind w:hanging="360" w:left="1080"/>
      <w:contextualSpacing/>
    </w:pPr>
  </w:style>
  <w:style w:styleId="ListBullet" w:type="paragraph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styleId="ListBullet2" w:type="paragraph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styleId="ListBullet3" w:type="paragraph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styleId="ListNumber" w:type="paragraph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styleId="ListNumber2" w:type="paragraph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styleId="ListNumber3" w:type="paragraph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styleId="ListContinue" w:type="paragraph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styleId="ListContinue2" w:type="paragraph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styleId="ListContinue3" w:type="paragraph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styleId="MacroText" w:type="paragraph">
    <w:name w:val="macro"/>
    <w:link w:val="MacroTextChar"/>
    <w:uiPriority w:val="99"/>
    <w:unhideWhenUsed/>
    <w:rsid w:val="0029639D"/>
    <w:pPr>
      <w:tabs>
        <w:tab w:pos="576" w:val="left"/>
        <w:tab w:pos="1152" w:val="left"/>
        <w:tab w:pos="1728" w:val="left"/>
        <w:tab w:pos="2304" w:val="left"/>
        <w:tab w:pos="2880" w:val="left"/>
        <w:tab w:pos="3456" w:val="left"/>
        <w:tab w:pos="4032" w:val="left"/>
      </w:tabs>
    </w:pPr>
    <w:rPr>
      <w:rFonts w:ascii="Courier" w:hAnsi="Courier"/>
      <w:sz w:val="20"/>
      <w:szCs w:val="20"/>
    </w:rPr>
  </w:style>
  <w:style w:customStyle="1" w:styleId="MacroTextChar" w:type="characte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styleId="Quote" w:type="paragraph">
    <w:name w:val="Quote"/>
    <w:basedOn w:val="Normal"/>
    <w:next w:val="Normal"/>
    <w:link w:val="QuoteChar"/>
    <w:uiPriority w:val="29"/>
    <w:qFormat/>
    <w:rsid w:val="00FC693F"/>
    <w:pPr>
      <w:pBdr>
        <w:left w:color="2E4E7E" w:space="6" w:sz="12" w:val="single"/>
      </w:pBdr>
      <w:shd w:fill="F2F7FD" w:val="clear"/>
      <w:spacing w:after="40" w:before="40"/>
      <w:ind w:left="170" w:right="170"/>
    </w:pPr>
    <w:rPr>
      <w:rFonts w:ascii="Times New Roman" w:eastAsia="黑体" w:hAnsi="Times New Roman"/>
      <w:i/>
      <w:iCs/>
      <w:color w:themeColor="text1" w:val="000000"/>
      <w:sz w:val="21"/>
    </w:rPr>
  </w:style>
  <w:style w:customStyle="1" w:styleId="QuoteChar" w:type="character">
    <w:name w:val="Quote Char"/>
    <w:basedOn w:val="DefaultParagraphFont"/>
    <w:link w:val="Quote"/>
    <w:uiPriority w:val="29"/>
    <w:rsid w:val="00FC693F"/>
    <w:rPr>
      <w:i/>
      <w:iCs/>
      <w:color w:themeColor="text1" w:val="000000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FC693F"/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FC693F"/>
    <w:rPr>
      <w:rFonts w:asciiTheme="majorHAnsi" w:cstheme="majorBidi" w:eastAsiaTheme="majorEastAsia" w:hAnsiTheme="majorHAnsi"/>
      <w:color w:themeColor="accent1" w:themeShade="7F" w:val="243F60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FC693F"/>
    <w:rPr>
      <w:rFonts w:asciiTheme="majorHAnsi" w:cstheme="majorBidi" w:eastAsiaTheme="majorEastAsia" w:hAnsiTheme="majorHAnsi"/>
      <w:i/>
      <w:iCs/>
      <w:color w:themeColor="accent1" w:themeShade="7F" w:val="243F60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FC693F"/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styleId="Caption" w:type="paragraph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themeColor="accent1" w:val="4F81BD"/>
      <w:sz w:val="18"/>
      <w:szCs w:val="18"/>
    </w:rPr>
  </w:style>
  <w:style w:styleId="Strong" w:type="character">
    <w:name w:val="Strong"/>
    <w:basedOn w:val="DefaultParagraphFont"/>
    <w:uiPriority w:val="22"/>
    <w:qFormat/>
    <w:rsid w:val="00FC693F"/>
    <w:rPr>
      <w:b/>
      <w:bCs/>
    </w:rPr>
  </w:style>
  <w:style w:styleId="Emphasis" w:type="character">
    <w:name w:val="Emphasis"/>
    <w:basedOn w:val="DefaultParagraphFont"/>
    <w:uiPriority w:val="20"/>
    <w:qFormat/>
    <w:rsid w:val="00FC693F"/>
    <w:rPr>
      <w:i/>
      <w:iCs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FC693F"/>
    <w:pPr>
      <w:pBdr>
        <w:bottom w:color="4F81BD" w:space="4" w:sz="4" w:themeColor="accent1" w:val="single"/>
      </w:pBdr>
      <w:spacing w:after="280" w:before="200"/>
      <w:ind w:left="936" w:right="936"/>
    </w:pPr>
    <w:rPr>
      <w:b/>
      <w:bCs/>
      <w:i/>
      <w:iCs/>
      <w:color w:themeColor="accent1" w:val="4F81BD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FC693F"/>
    <w:rPr>
      <w:b/>
      <w:bCs/>
      <w:i/>
      <w:iCs/>
      <w:color w:themeColor="accent1" w:val="4F81BD"/>
    </w:rPr>
  </w:style>
  <w:style w:styleId="SubtleEmphasis" w:type="character">
    <w:name w:val="Subtle Emphasis"/>
    <w:basedOn w:val="DefaultParagraphFont"/>
    <w:uiPriority w:val="19"/>
    <w:qFormat/>
    <w:rsid w:val="00FC693F"/>
    <w:rPr>
      <w:i/>
      <w:iCs/>
      <w:color w:themeColor="text1" w:themeTint="7F" w:val="808080"/>
    </w:rPr>
  </w:style>
  <w:style w:styleId="IntenseEmphasis" w:type="character">
    <w:name w:val="Intense Emphasis"/>
    <w:basedOn w:val="DefaultParagraphFont"/>
    <w:uiPriority w:val="21"/>
    <w:qFormat/>
    <w:rsid w:val="00FC693F"/>
    <w:rPr>
      <w:b/>
      <w:bCs/>
      <w:i/>
      <w:iCs/>
      <w:color w:themeColor="accent1" w:val="4F81BD"/>
    </w:rPr>
  </w:style>
  <w:style w:styleId="SubtleReference" w:type="character">
    <w:name w:val="Subtle Reference"/>
    <w:basedOn w:val="DefaultParagraphFont"/>
    <w:uiPriority w:val="31"/>
    <w:qFormat/>
    <w:rsid w:val="00FC693F"/>
    <w:rPr>
      <w:smallCaps/>
      <w:color w:themeColor="accent2" w:val="C0504D"/>
      <w:u w:val="single"/>
    </w:rPr>
  </w:style>
  <w:style w:styleId="IntenseReference" w:type="character">
    <w:name w:val="Intense Reference"/>
    <w:basedOn w:val="DefaultParagraphFont"/>
    <w:uiPriority w:val="32"/>
    <w:qFormat/>
    <w:rsid w:val="00FC693F"/>
    <w:rPr>
      <w:b/>
      <w:bCs/>
      <w:smallCaps/>
      <w:color w:themeColor="accent2" w:val="C0504D"/>
      <w:spacing w:val="5"/>
      <w:u w:val="single"/>
    </w:rPr>
  </w:style>
  <w:style w:styleId="BookTitle" w:type="character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styleId="TOCHeading" w:type="paragraph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styleId="TableGrid" w:type="table">
    <w:name w:val="Table Grid"/>
    <w:basedOn w:val="TableNormal"/>
    <w:uiPriority w:val="59"/>
    <w:rsid w:val="00FC693F"/>
    <w:pPr>
      <w:spacing w:after="0" w:line="240" w:lineRule="auto"/>
    </w:pPr>
    <w:tblPr>
      <w:tblInd w:type="dxa" w:w="0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  <w:tblCellMar>
        <w:top w:type="dxa" w:w="0"/>
        <w:left w:type="dxa" w:w="108"/>
        <w:bottom w:type="dxa" w:w="0"/>
        <w:right w:type="dxa" w:w="108"/>
      </w:tblCellMar>
    </w:tblPr>
  </w:style>
  <w:style w:styleId="LightShading" w:type="table">
    <w:name w:val="Light Shading"/>
    <w:basedOn w:val="TableNormal"/>
    <w:uiPriority w:val="60"/>
    <w:rsid w:val="00FC693F"/>
    <w:pPr>
      <w:spacing w:after="0" w:line="240" w:lineRule="auto"/>
    </w:pPr>
    <w:rPr>
      <w:color w:themeColor="text1" w:themeShade="BF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</w:style>
  <w:style w:styleId="LightShading-Accent1" w:type="table">
    <w:name w:val="Light Shading Accent 1"/>
    <w:basedOn w:val="TableNormal"/>
    <w:uiPriority w:val="60"/>
    <w:rsid w:val="00FC693F"/>
    <w:pPr>
      <w:spacing w:after="0" w:line="240" w:lineRule="auto"/>
    </w:pPr>
    <w:rPr>
      <w:color w:themeColor="accent1" w:themeShade="BF" w:val="365F91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</w:style>
  <w:style w:styleId="LightShading-Accent2" w:type="table">
    <w:name w:val="Light Shading Accent 2"/>
    <w:basedOn w:val="TableNormal"/>
    <w:uiPriority w:val="60"/>
    <w:rsid w:val="00FC693F"/>
    <w:pPr>
      <w:spacing w:after="0" w:line="240" w:lineRule="auto"/>
    </w:pPr>
    <w:rPr>
      <w:color w:themeColor="accent2" w:themeShade="BF" w:val="943634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</w:style>
  <w:style w:styleId="LightShading-Accent3" w:type="table">
    <w:name w:val="Light Shading Accent 3"/>
    <w:basedOn w:val="TableNormal"/>
    <w:uiPriority w:val="60"/>
    <w:rsid w:val="00FC693F"/>
    <w:pPr>
      <w:spacing w:after="0" w:line="240" w:lineRule="auto"/>
    </w:pPr>
    <w:rPr>
      <w:color w:themeColor="accent3" w:themeShade="BF" w:val="76923C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</w:style>
  <w:style w:styleId="LightShading-Accent4" w:type="table">
    <w:name w:val="Light Shading Accent 4"/>
    <w:basedOn w:val="TableNormal"/>
    <w:uiPriority w:val="60"/>
    <w:rsid w:val="00FC693F"/>
    <w:pPr>
      <w:spacing w:after="0" w:line="240" w:lineRule="auto"/>
    </w:pPr>
    <w:rPr>
      <w:color w:themeColor="accent4" w:themeShade="BF" w:val="5F497A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</w:style>
  <w:style w:styleId="LightShading-Accent5" w:type="table">
    <w:name w:val="Light Shading Accent 5"/>
    <w:basedOn w:val="TableNormal"/>
    <w:uiPriority w:val="60"/>
    <w:rsid w:val="00FC693F"/>
    <w:pPr>
      <w:spacing w:after="0" w:line="240" w:lineRule="auto"/>
    </w:pPr>
    <w:rPr>
      <w:color w:themeColor="accent5" w:themeShade="BF" w:val="31849B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</w:style>
  <w:style w:styleId="LightShading-Accent6" w:type="table">
    <w:name w:val="Light Shading Accent 6"/>
    <w:basedOn w:val="TableNormal"/>
    <w:uiPriority w:val="60"/>
    <w:rsid w:val="00FC693F"/>
    <w:pPr>
      <w:spacing w:after="0" w:line="240" w:lineRule="auto"/>
    </w:pPr>
    <w:rPr>
      <w:color w:themeColor="accent6" w:themeShade="BF" w:val="E36C0A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</w:style>
  <w:style w:styleId="LightList" w:type="table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</w:style>
  <w:style w:styleId="LightList-Accent1" w:type="table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</w:style>
  <w:style w:styleId="LightList-Accent2" w:type="table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</w:style>
  <w:style w:styleId="LightList-Accent3" w:type="table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</w:style>
  <w:style w:styleId="LightList-Accent4" w:type="table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</w:style>
  <w:style w:styleId="LightList-Accent5" w:type="table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</w:style>
  <w:style w:styleId="LightList-Accent6" w:type="table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</w:style>
  <w:style w:styleId="LightGrid" w:type="table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1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  <w:shd w:color="auto" w:fill="C0C0C0" w:themeFill="text1" w:themeFillTint="3F" w:val="clear"/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  <w:shd w:color="auto" w:fill="C0C0C0" w:themeFill="text1" w:themeFillTint="3F" w:val="clear"/>
      </w:tcPr>
    </w:tblStylePr>
    <w:tblStylePr w:type="band2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</w:tcPr>
    </w:tblStylePr>
  </w:style>
  <w:style w:styleId="LightGrid-Accent1" w:type="table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1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  <w:shd w:color="auto" w:fill="D3DFEE" w:themeFill="accent1" w:themeFillTint="3F" w:val="clear"/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  <w:shd w:color="auto" w:fill="D3DFEE" w:themeFill="accent1" w:themeFillTint="3F" w:val="clear"/>
      </w:tcPr>
    </w:tblStylePr>
    <w:tblStylePr w:type="band2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</w:tcPr>
    </w:tblStylePr>
  </w:style>
  <w:style w:styleId="LightGrid-Accent2" w:type="table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1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  <w:shd w:color="auto" w:fill="EFD3D2" w:themeFill="accent2" w:themeFillTint="3F" w:val="clear"/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  <w:shd w:color="auto" w:fill="EFD3D2" w:themeFill="accent2" w:themeFillTint="3F" w:val="clear"/>
      </w:tcPr>
    </w:tblStylePr>
    <w:tblStylePr w:type="band2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</w:tcPr>
    </w:tblStylePr>
  </w:style>
  <w:style w:styleId="LightGrid-Accent3" w:type="table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1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  <w:shd w:color="auto" w:fill="E6EED5" w:themeFill="accent3" w:themeFillTint="3F" w:val="clear"/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  <w:shd w:color="auto" w:fill="E6EED5" w:themeFill="accent3" w:themeFillTint="3F" w:val="clear"/>
      </w:tcPr>
    </w:tblStylePr>
    <w:tblStylePr w:type="band2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</w:tcPr>
    </w:tblStylePr>
  </w:style>
  <w:style w:styleId="LightGrid-Accent4" w:type="table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1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  <w:shd w:color="auto" w:fill="DFD8E8" w:themeFill="accent4" w:themeFillTint="3F" w:val="clear"/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  <w:shd w:color="auto" w:fill="DFD8E8" w:themeFill="accent4" w:themeFillTint="3F" w:val="clear"/>
      </w:tcPr>
    </w:tblStylePr>
    <w:tblStylePr w:type="band2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</w:tcPr>
    </w:tblStylePr>
  </w:style>
  <w:style w:styleId="LightGrid-Accent5" w:type="table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1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  <w:shd w:color="auto" w:fill="D2EAF1" w:themeFill="accent5" w:themeFillTint="3F" w:val="clear"/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  <w:shd w:color="auto" w:fill="D2EAF1" w:themeFill="accent5" w:themeFillTint="3F" w:val="clear"/>
      </w:tcPr>
    </w:tblStylePr>
    <w:tblStylePr w:type="band2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</w:tcPr>
    </w:tblStylePr>
  </w:style>
  <w:style w:styleId="LightGrid-Accent6" w:type="table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1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  <w:shd w:color="auto" w:fill="FDE4D0" w:themeFill="accent6" w:themeFillTint="3F" w:val="clear"/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  <w:shd w:color="auto" w:fill="FDE4D0" w:themeFill="accent6" w:themeFillTint="3F" w:val="clear"/>
      </w:tcPr>
    </w:tblStylePr>
    <w:tblStylePr w:type="band2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</w:tcPr>
    </w:tblStylePr>
  </w:style>
  <w:style w:styleId="MediumShading1" w:type="table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404040" w:space="0" w:sz="8" w:themeColor="text1" w:themeTint="BF" w:val="sing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04040" w:space="0" w:sz="6" w:themeColor="text1" w:themeTint="BF" w:val="doub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C0C0C0" w:themeFill="tex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1" w:type="table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BA0CD" w:space="0" w:sz="8" w:themeColor="accent1" w:themeTint="BF" w:val="sing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BA0CD" w:space="0" w:sz="6" w:themeColor="accent1" w:themeTint="BF" w:val="doub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3DFEE" w:themeFill="accen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2" w:type="table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CF7B79" w:space="0" w:sz="8" w:themeColor="accent2" w:themeTint="BF" w:val="sing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F7B79" w:space="0" w:sz="6" w:themeColor="accent2" w:themeTint="BF" w:val="doub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FD3D2" w:themeFill="accent2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3" w:type="table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B3CC82" w:space="0" w:sz="8" w:themeColor="accent3" w:themeTint="BF" w:val="sing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B3CC82" w:space="0" w:sz="6" w:themeColor="accent3" w:themeTint="BF" w:val="doub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6EED5" w:themeFill="accent3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4" w:type="table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9F8AB9" w:space="0" w:sz="8" w:themeColor="accent4" w:themeTint="BF" w:val="sing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F8AB9" w:space="0" w:sz="6" w:themeColor="accent4" w:themeTint="BF" w:val="doub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FD8E8" w:themeFill="accent4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5" w:type="table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8C0D4" w:space="0" w:sz="8" w:themeColor="accent5" w:themeTint="BF" w:val="sing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8C0D4" w:space="0" w:sz="6" w:themeColor="accent5" w:themeTint="BF" w:val="doub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2EAF1" w:themeFill="accent5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6" w:type="table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F9B074" w:space="0" w:sz="8" w:themeColor="accent6" w:themeTint="BF" w:val="sing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9B074" w:space="0" w:sz="6" w:themeColor="accent6" w:themeTint="BF" w:val="doub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FDE4D0" w:themeFill="accent6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2" w:type="table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1" w:type="table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2" w:type="table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3" w:type="table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4" w:type="table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5" w:type="table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6" w:type="table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List1" w:type="table">
    <w:name w:val="Medium Lis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000000" w:space="0" w:sz="8" w:themeColor="tex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shd w:color="auto" w:fill="C0C0C0" w:themeFill="text1" w:themeFillTint="3F" w:val="clear"/>
      </w:tcPr>
    </w:tblStylePr>
  </w:style>
  <w:style w:styleId="MediumList1-Accent1" w:type="table">
    <w:name w:val="Medium List 1 Accen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F81BD" w:space="0" w:sz="8" w:themeColor="accen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shd w:color="auto" w:fill="D3DFEE" w:themeFill="accent1" w:themeFillTint="3F" w:val="clear"/>
      </w:tcPr>
    </w:tblStylePr>
  </w:style>
  <w:style w:styleId="MediumList1-Accent2" w:type="table">
    <w:name w:val="Medium List 1 Accent 2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C0504D" w:space="0" w:sz="8" w:themeColor="accent2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shd w:color="auto" w:fill="EFD3D2" w:themeFill="accent2" w:themeFillTint="3F" w:val="clear"/>
      </w:tcPr>
    </w:tblStylePr>
  </w:style>
  <w:style w:styleId="MediumList1-Accent3" w:type="table">
    <w:name w:val="Medium List 1 Accent 3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9BBB59" w:space="0" w:sz="8" w:themeColor="accent3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shd w:color="auto" w:fill="E6EED5" w:themeFill="accent3" w:themeFillTint="3F" w:val="clear"/>
      </w:tcPr>
    </w:tblStylePr>
  </w:style>
  <w:style w:styleId="MediumList1-Accent4" w:type="table">
    <w:name w:val="Medium List 1 Accent 4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8064A2" w:space="0" w:sz="8" w:themeColor="accent4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shd w:color="auto" w:fill="DFD8E8" w:themeFill="accent4" w:themeFillTint="3F" w:val="clear"/>
      </w:tcPr>
    </w:tblStylePr>
  </w:style>
  <w:style w:styleId="MediumList1-Accent5" w:type="table">
    <w:name w:val="Medium List 1 Accent 5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BACC6" w:space="0" w:sz="8" w:themeColor="accent5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shd w:color="auto" w:fill="D2EAF1" w:themeFill="accent5" w:themeFillTint="3F" w:val="clear"/>
      </w:tcPr>
    </w:tblStylePr>
  </w:style>
  <w:style w:styleId="MediumList1-Accent6" w:type="table">
    <w:name w:val="Medium List 1 Accent 6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F79646" w:space="0" w:sz="8" w:themeColor="accent6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shd w:color="auto" w:fill="FDE4D0" w:themeFill="accent6" w:themeFillTint="3F" w:val="clear"/>
      </w:tcPr>
    </w:tblStylePr>
  </w:style>
  <w:style w:styleId="MediumList2" w:type="table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000000" w:space="0" w:sz="24" w:themeColor="tex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000000" w:space="0" w:sz="8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000000" w:space="0" w:sz="8" w:themeColor="tex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000000" w:space="0" w:sz="8" w:themeColor="tex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C0C0C0" w:themeFill="tex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1" w:type="table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F81BD" w:space="0" w:sz="24" w:themeColor="accen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F81BD" w:space="0" w:sz="8" w:themeColor="accen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F81BD" w:space="0" w:sz="8" w:themeColor="accen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F81BD" w:space="0" w:sz="8" w:themeColor="accen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3DFEE" w:themeFill="accen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2" w:type="table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C0504D" w:space="0" w:sz="8" w:themeColor="accent2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C0504D" w:space="0" w:sz="8" w:themeColor="accent2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C0504D" w:space="0" w:sz="8" w:themeColor="accent2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FD3D2" w:themeFill="accent2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3" w:type="table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9BBB59" w:space="0" w:sz="8" w:themeColor="accent3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9BBB59" w:space="0" w:sz="8" w:themeColor="accent3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9BBB59" w:space="0" w:sz="8" w:themeColor="accent3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6EED5" w:themeFill="accent3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4" w:type="table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8064A2" w:space="0" w:sz="8" w:themeColor="accent4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8064A2" w:space="0" w:sz="8" w:themeColor="accent4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8064A2" w:space="0" w:sz="8" w:themeColor="accent4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FD8E8" w:themeFill="accent4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5" w:type="table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BACC6" w:space="0" w:sz="8" w:themeColor="accent5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BACC6" w:space="0" w:sz="8" w:themeColor="accent5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BACC6" w:space="0" w:sz="8" w:themeColor="accent5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2EAF1" w:themeFill="accent5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6" w:type="table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F79646" w:space="0" w:sz="8" w:themeColor="accent6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F79646" w:space="0" w:sz="8" w:themeColor="accent6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F79646" w:space="0" w:sz="8" w:themeColor="accent6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FDE4D0" w:themeFill="accent6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Grid1" w:type="table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  <w:insideV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404040" w:space="0" w:sz="18" w:themeColor="tex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MediumGrid1-Accent1" w:type="table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  <w:insideV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BA0CD" w:space="0" w:sz="18" w:themeColor="accen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MediumGrid1-Accent2" w:type="table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  <w:insideV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CF7B79" w:space="0" w:sz="18" w:themeColor="accent2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MediumGrid1-Accent3" w:type="table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  <w:insideV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B3CC82" w:space="0" w:sz="18" w:themeColor="accent3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MediumGrid1-Accent4" w:type="table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  <w:insideV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9F8AB9" w:space="0" w:sz="18" w:themeColor="accent4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MediumGrid1-Accent5" w:type="table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  <w:insideV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8C0D4" w:space="0" w:sz="18" w:themeColor="accent5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MediumGrid1-Accent6" w:type="table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  <w:insideV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F9B074" w:space="0" w:sz="18" w:themeColor="accent6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styleId="MediumGrid2" w:type="table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color w:themeColor="text1" w:val="000000"/>
      </w:rPr>
      <w:tblPr/>
      <w:tcPr>
        <w:shd w:color="auto" w:fill="E6E6E6" w:themeFill="tex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CCCCC" w:themeFill="text1" w:themeFillTint="33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tcBorders>
          <w:insideH w:color="000000" w:space="0" w:sz="6" w:themeColor="text1" w:val="single"/>
          <w:insideV w:color="000000" w:space="0" w:sz="6" w:themeColor="text1" w:val="single"/>
        </w:tcBorders>
        <w:shd w:color="auto" w:fill="808080" w:themeFill="tex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1" w:type="table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color w:themeColor="text1" w:val="000000"/>
      </w:rPr>
      <w:tblPr/>
      <w:tcPr>
        <w:shd w:color="auto" w:fill="EDF2F8" w:themeFill="accen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BE5F1" w:themeFill="accent1" w:themeFillTint="33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tcBorders>
          <w:insideH w:color="4F81BD" w:space="0" w:sz="6" w:themeColor="accent1" w:val="single"/>
          <w:insideV w:color="4F81BD" w:space="0" w:sz="6" w:themeColor="accent1" w:val="single"/>
        </w:tcBorders>
        <w:shd w:color="auto" w:fill="A7BFDE" w:themeFill="accen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2" w:type="table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color w:themeColor="text1" w:val="000000"/>
      </w:rPr>
      <w:tblPr/>
      <w:tcPr>
        <w:shd w:color="auto" w:fill="F8EDED" w:themeFill="accent2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2DBDB" w:themeFill="accent2" w:themeFillTint="33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tcBorders>
          <w:insideH w:color="C0504D" w:space="0" w:sz="6" w:themeColor="accent2" w:val="single"/>
          <w:insideV w:color="C0504D" w:space="0" w:sz="6" w:themeColor="accent2" w:val="single"/>
        </w:tcBorders>
        <w:shd w:color="auto" w:fill="DFA7A6" w:themeFill="accent2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3" w:type="table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color w:themeColor="text1" w:val="000000"/>
      </w:rPr>
      <w:tblPr/>
      <w:tcPr>
        <w:shd w:color="auto" w:fill="F5F8EE" w:themeFill="accent3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AF1DD" w:themeFill="accent3" w:themeFillTint="33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tcBorders>
          <w:insideH w:color="9BBB59" w:space="0" w:sz="6" w:themeColor="accent3" w:val="single"/>
          <w:insideV w:color="9BBB59" w:space="0" w:sz="6" w:themeColor="accent3" w:val="single"/>
        </w:tcBorders>
        <w:shd w:color="auto" w:fill="CDDDAC" w:themeFill="accent3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4" w:type="table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color w:themeColor="text1" w:val="000000"/>
      </w:rPr>
      <w:tblPr/>
      <w:tcPr>
        <w:shd w:color="auto" w:fill="F2EFF6" w:themeFill="accent4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5DFEC" w:themeFill="accent4" w:themeFillTint="33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tcBorders>
          <w:insideH w:color="8064A2" w:space="0" w:sz="6" w:themeColor="accent4" w:val="single"/>
          <w:insideV w:color="8064A2" w:space="0" w:sz="6" w:themeColor="accent4" w:val="single"/>
        </w:tcBorders>
        <w:shd w:color="auto" w:fill="BFB1D0" w:themeFill="accent4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5" w:type="table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color w:themeColor="text1" w:val="000000"/>
      </w:rPr>
      <w:tblPr/>
      <w:tcPr>
        <w:shd w:color="auto" w:fill="EDF6F9" w:themeFill="accent5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AEEF3" w:themeFill="accent5" w:themeFillTint="33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tcBorders>
          <w:insideH w:color="4BACC6" w:space="0" w:sz="6" w:themeColor="accent5" w:val="single"/>
          <w:insideV w:color="4BACC6" w:space="0" w:sz="6" w:themeColor="accent5" w:val="single"/>
        </w:tcBorders>
        <w:shd w:color="auto" w:fill="A5D5E2" w:themeFill="accent5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6" w:type="table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color w:themeColor="text1" w:val="000000"/>
      </w:rPr>
      <w:tblPr/>
      <w:tcPr>
        <w:shd w:color="auto" w:fill="FEF4EC" w:themeFill="accent6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9D9" w:themeFill="accent6" w:themeFillTint="33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tcBorders>
          <w:insideH w:color="F79646" w:space="0" w:sz="6" w:themeColor="accent6" w:val="single"/>
          <w:insideV w:color="F79646" w:space="0" w:sz="6" w:themeColor="accent6" w:val="single"/>
        </w:tcBorders>
        <w:shd w:color="auto" w:fill="FBCAA2" w:themeFill="accent6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3" w:type="table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808080" w:themeFill="tex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808080" w:themeFill="text1" w:themeFillTint="7F" w:val="clear"/>
      </w:tcPr>
    </w:tblStylePr>
  </w:style>
  <w:style w:styleId="MediumGrid3-Accent1" w:type="table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7BFDE" w:themeFill="accen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7BFDE" w:themeFill="accent1" w:themeFillTint="7F" w:val="clear"/>
      </w:tcPr>
    </w:tblStylePr>
  </w:style>
  <w:style w:styleId="MediumGrid3-Accent2" w:type="table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DFA7A6" w:themeFill="accent2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DFA7A6" w:themeFill="accent2" w:themeFillTint="7F" w:val="clear"/>
      </w:tcPr>
    </w:tblStylePr>
  </w:style>
  <w:style w:styleId="MediumGrid3-Accent3" w:type="table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CDDDAC" w:themeFill="accent3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CDDDAC" w:themeFill="accent3" w:themeFillTint="7F" w:val="clear"/>
      </w:tcPr>
    </w:tblStylePr>
  </w:style>
  <w:style w:styleId="MediumGrid3-Accent4" w:type="table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BFB1D0" w:themeFill="accent4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BFB1D0" w:themeFill="accent4" w:themeFillTint="7F" w:val="clear"/>
      </w:tcPr>
    </w:tblStylePr>
  </w:style>
  <w:style w:styleId="MediumGrid3-Accent5" w:type="table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5D5E2" w:themeFill="accent5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5D5E2" w:themeFill="accent5" w:themeFillTint="7F" w:val="clear"/>
      </w:tcPr>
    </w:tblStylePr>
  </w:style>
  <w:style w:styleId="MediumGrid3-Accent6" w:type="table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FBCAA2" w:themeFill="accent6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FBCAA2" w:themeFill="accent6" w:themeFillTint="7F" w:val="clear"/>
      </w:tcPr>
    </w:tblStylePr>
  </w:style>
  <w:style w:styleId="DarkList" w:type="table">
    <w:name w:val="Dark List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000000" w:themeFill="tex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000000" w:themeFill="tex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</w:style>
  <w:style w:styleId="DarkList-Accent1" w:type="table">
    <w:name w:val="Dark List Accent 1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F81BD" w:themeFill="accen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43F60" w:themeFill="accen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65F91" w:themeFill="accen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</w:style>
  <w:style w:styleId="DarkList-Accent2" w:type="table">
    <w:name w:val="Dark List Accent 2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C0504D" w:themeFill="accent2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622423" w:themeFill="accent2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943634" w:themeFill="accent2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</w:style>
  <w:style w:styleId="DarkList-Accent3" w:type="table">
    <w:name w:val="Dark List Accent 3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9BBB59" w:themeFill="accent3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4E6128" w:themeFill="accent3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76923C" w:themeFill="accent3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</w:style>
  <w:style w:styleId="DarkList-Accent4" w:type="table">
    <w:name w:val="Dark List Accent 4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8064A2" w:themeFill="accent4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3F3151" w:themeFill="accent4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5F497A" w:themeFill="accent4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</w:style>
  <w:style w:styleId="DarkList-Accent5" w:type="table">
    <w:name w:val="Dark List Accent 5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BACC6" w:themeFill="accent5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05867" w:themeFill="accent5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1849B" w:themeFill="accent5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</w:style>
  <w:style w:styleId="DarkList-Accent6" w:type="table">
    <w:name w:val="Dark List Accent 6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79646" w:themeFill="accent6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974706" w:themeFill="accent6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E36C0A" w:themeFill="accent6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</w:style>
  <w:style w:styleId="ColorfulShading" w:type="table">
    <w:name w:val="Colorful Shading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000000" w:space="0" w:sz="4" w:themeColor="text1" w:val="single"/>
        <w:bottom w:color="000000" w:space="0" w:sz="4" w:themeColor="text1" w:val="single"/>
        <w:right w:color="000000" w:space="0" w:sz="4" w:themeColor="tex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000000" w:themeFill="tex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000000" w:space="0" w:sz="4" w:themeColor="text1" w:themeShade="99" w:val="single"/>
          <w:insideV w:val="nil"/>
        </w:tcBorders>
        <w:shd w:color="auto" w:fill="000000" w:themeFill="tex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shd w:color="auto" w:fill="999999" w:themeFill="text1" w:themeFillTint="66" w:val="clear"/>
      </w:tcPr>
    </w:tblStylePr>
    <w:tblStylePr w:type="band1Horz">
      <w:tblPr/>
      <w:tcPr>
        <w:shd w:color="auto" w:fill="808080" w:themeFill="tex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1" w:type="table">
    <w:name w:val="Colorful Shading Accent 1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4F81BD" w:space="0" w:sz="4" w:themeColor="accent1" w:val="single"/>
        <w:bottom w:color="4F81BD" w:space="0" w:sz="4" w:themeColor="accent1" w:val="single"/>
        <w:right w:color="4F81BD" w:space="0" w:sz="4" w:themeColor="accen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C4C74" w:themeFill="accen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C4C74" w:space="0" w:sz="4" w:themeColor="accent1" w:themeShade="99" w:val="single"/>
          <w:insideV w:val="nil"/>
        </w:tcBorders>
        <w:shd w:color="auto" w:fill="2C4C74" w:themeFill="accen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C4C74" w:themeFill="accent1" w:themeFillShade="99" w:val="clear"/>
      </w:tcPr>
    </w:tblStylePr>
    <w:tblStylePr w:type="band1Vert">
      <w:tblPr/>
      <w:tcPr>
        <w:shd w:color="auto" w:fill="B8CCE4" w:themeFill="accent1" w:themeFillTint="66" w:val="clear"/>
      </w:tcPr>
    </w:tblStylePr>
    <w:tblStylePr w:type="band1Horz">
      <w:tblPr/>
      <w:tcPr>
        <w:shd w:color="auto" w:fill="A7BFDE" w:themeFill="accen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2" w:type="table">
    <w:name w:val="Colorful Shading Accent 2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C0504D" w:space="0" w:sz="4" w:themeColor="accent2" w:val="single"/>
        <w:bottom w:color="C0504D" w:space="0" w:sz="4" w:themeColor="accent2" w:val="single"/>
        <w:right w:color="C0504D" w:space="0" w:sz="4" w:themeColor="accent2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772C2A" w:themeFill="accent2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772C2A" w:space="0" w:sz="4" w:themeColor="accent2" w:themeShade="99" w:val="single"/>
          <w:insideV w:val="nil"/>
        </w:tcBorders>
        <w:shd w:color="auto" w:fill="772C2A" w:themeFill="accent2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72C2A" w:themeFill="accent2" w:themeFillShade="99" w:val="clear"/>
      </w:tcPr>
    </w:tblStylePr>
    <w:tblStylePr w:type="band1Vert">
      <w:tblPr/>
      <w:tcPr>
        <w:shd w:color="auto" w:fill="E5B8B7" w:themeFill="accent2" w:themeFillTint="66" w:val="clear"/>
      </w:tcPr>
    </w:tblStylePr>
    <w:tblStylePr w:type="band1Horz">
      <w:tblPr/>
      <w:tcPr>
        <w:shd w:color="auto" w:fill="DFA7A6" w:themeFill="accent2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3" w:type="table">
    <w:name w:val="Colorful Shading Accent 3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24" w:themeColor="accent4" w:val="single"/>
        <w:left w:color="9BBB59" w:space="0" w:sz="4" w:themeColor="accent3" w:val="single"/>
        <w:bottom w:color="9BBB59" w:space="0" w:sz="4" w:themeColor="accent3" w:val="single"/>
        <w:right w:color="9BBB59" w:space="0" w:sz="4" w:themeColor="accent3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5E7530" w:themeFill="accent3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5E7530" w:space="0" w:sz="4" w:themeColor="accent3" w:themeShade="99" w:val="single"/>
          <w:insideV w:val="nil"/>
        </w:tcBorders>
        <w:shd w:color="auto" w:fill="5E7530" w:themeFill="accent3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E7530" w:themeFill="accent3" w:themeFillShade="99" w:val="clear"/>
      </w:tcPr>
    </w:tblStylePr>
    <w:tblStylePr w:type="band1Vert">
      <w:tblPr/>
      <w:tcPr>
        <w:shd w:color="auto" w:fill="D6E3BC" w:themeFill="accent3" w:themeFillTint="66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Shading-Accent4" w:type="table">
    <w:name w:val="Colorful Shading Accent 4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24" w:themeColor="accent3" w:val="single"/>
        <w:left w:color="8064A2" w:space="0" w:sz="4" w:themeColor="accent4" w:val="single"/>
        <w:bottom w:color="8064A2" w:space="0" w:sz="4" w:themeColor="accent4" w:val="single"/>
        <w:right w:color="8064A2" w:space="0" w:sz="4" w:themeColor="accent4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4C3B62" w:themeFill="accent4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4C3B62" w:space="0" w:sz="4" w:themeColor="accent4" w:themeShade="99" w:val="single"/>
          <w:insideV w:val="nil"/>
        </w:tcBorders>
        <w:shd w:color="auto" w:fill="4C3B62" w:themeFill="accent4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4C3B62" w:themeFill="accent4" w:themeFillShade="99" w:val="clear"/>
      </w:tcPr>
    </w:tblStylePr>
    <w:tblStylePr w:type="band1Vert">
      <w:tblPr/>
      <w:tcPr>
        <w:shd w:color="auto" w:fill="CCC0D9" w:themeFill="accent4" w:themeFillTint="66" w:val="clear"/>
      </w:tcPr>
    </w:tblStylePr>
    <w:tblStylePr w:type="band1Horz">
      <w:tblPr/>
      <w:tcPr>
        <w:shd w:color="auto" w:fill="BFB1D0" w:themeFill="accent4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5" w:type="table">
    <w:name w:val="Colorful Shading Accent 5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24" w:themeColor="accent6" w:val="single"/>
        <w:left w:color="4BACC6" w:space="0" w:sz="4" w:themeColor="accent5" w:val="single"/>
        <w:bottom w:color="4BACC6" w:space="0" w:sz="4" w:themeColor="accent5" w:val="single"/>
        <w:right w:color="4BACC6" w:space="0" w:sz="4" w:themeColor="accent5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76A7C" w:themeFill="accent5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76A7C" w:space="0" w:sz="4" w:themeColor="accent5" w:themeShade="99" w:val="single"/>
          <w:insideV w:val="nil"/>
        </w:tcBorders>
        <w:shd w:color="auto" w:fill="276A7C" w:themeFill="accent5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76A7C" w:themeFill="accent5" w:themeFillShade="99" w:val="clear"/>
      </w:tcPr>
    </w:tblStylePr>
    <w:tblStylePr w:type="band1Vert">
      <w:tblPr/>
      <w:tcPr>
        <w:shd w:color="auto" w:fill="B6DDE8" w:themeFill="accent5" w:themeFillTint="66" w:val="clear"/>
      </w:tcPr>
    </w:tblStylePr>
    <w:tblStylePr w:type="band1Horz">
      <w:tblPr/>
      <w:tcPr>
        <w:shd w:color="auto" w:fill="A5D5E2" w:themeFill="accent5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6" w:type="table">
    <w:name w:val="Colorful Shading Accent 6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24" w:themeColor="accent5" w:val="single"/>
        <w:left w:color="F79646" w:space="0" w:sz="4" w:themeColor="accent6" w:val="single"/>
        <w:bottom w:color="F79646" w:space="0" w:sz="4" w:themeColor="accent6" w:val="single"/>
        <w:right w:color="F79646" w:space="0" w:sz="4" w:themeColor="accent6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B65608" w:themeFill="accent6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B65608" w:space="0" w:sz="4" w:themeColor="accent6" w:themeShade="99" w:val="single"/>
          <w:insideV w:val="nil"/>
        </w:tcBorders>
        <w:shd w:color="auto" w:fill="B65608" w:themeFill="accent6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B65608" w:themeFill="accent6" w:themeFillShade="99" w:val="clear"/>
      </w:tcPr>
    </w:tblStylePr>
    <w:tblStylePr w:type="band1Vert">
      <w:tblPr/>
      <w:tcPr>
        <w:shd w:color="auto" w:fill="FBD4B4" w:themeFill="accent6" w:themeFillTint="66" w:val="clear"/>
      </w:tcPr>
    </w:tblStylePr>
    <w:tblStylePr w:type="band1Horz">
      <w:tblPr/>
      <w:tcPr>
        <w:shd w:color="auto" w:fill="FBCAA2" w:themeFill="accent6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List" w:type="table">
    <w:name w:val="Colorful List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shd w:color="auto" w:fill="CCCCCC" w:themeFill="text1" w:themeFillTint="33" w:val="clear"/>
      </w:tcPr>
    </w:tblStylePr>
  </w:style>
  <w:style w:styleId="ColorfulList-Accent1" w:type="table">
    <w:name w:val="Colorful List Accent 1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shd w:color="auto" w:fill="DBE5F1" w:themeFill="accent1" w:themeFillTint="33" w:val="clear"/>
      </w:tcPr>
    </w:tblStylePr>
  </w:style>
  <w:style w:styleId="ColorfulList-Accent2" w:type="table">
    <w:name w:val="Colorful List Accent 2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shd w:color="auto" w:fill="F2DBDB" w:themeFill="accent2" w:themeFillTint="33" w:val="clear"/>
      </w:tcPr>
    </w:tblStylePr>
  </w:style>
  <w:style w:styleId="ColorfulList-Accent3" w:type="table">
    <w:name w:val="Colorful List Accent 3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664E82" w:themeFill="accent4" w:themeFillShade="CC" w:val="clear"/>
      </w:tcPr>
    </w:tblStylePr>
    <w:tblStylePr w:type="lastRow">
      <w:rPr>
        <w:b/>
        <w:bCs/>
        <w:color w:themeColor="accent4" w:themeShade="CC" w:val="664E82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shd w:color="auto" w:fill="EAF1DD" w:themeFill="accent3" w:themeFillTint="33" w:val="clear"/>
      </w:tcPr>
    </w:tblStylePr>
  </w:style>
  <w:style w:styleId="ColorfulList-Accent4" w:type="table">
    <w:name w:val="Colorful List Accent 4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7E9C40" w:themeFill="accent3" w:themeFillShade="CC" w:val="clear"/>
      </w:tcPr>
    </w:tblStylePr>
    <w:tblStylePr w:type="lastRow">
      <w:rPr>
        <w:b/>
        <w:bCs/>
        <w:color w:themeColor="accent3" w:themeShade="CC" w:val="7E9C40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shd w:color="auto" w:fill="E5DFEC" w:themeFill="accent4" w:themeFillTint="33" w:val="clear"/>
      </w:tcPr>
    </w:tblStylePr>
  </w:style>
  <w:style w:styleId="ColorfulList-Accent5" w:type="table">
    <w:name w:val="Colorful List Accent 5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F2730A" w:themeFill="accent6" w:themeFillShade="CC" w:val="clear"/>
      </w:tcPr>
    </w:tblStylePr>
    <w:tblStylePr w:type="lastRow">
      <w:rPr>
        <w:b/>
        <w:bCs/>
        <w:color w:themeColor="accent6" w:themeShade="CC" w:val="F2730A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shd w:color="auto" w:fill="DAEEF3" w:themeFill="accent5" w:themeFillTint="33" w:val="clear"/>
      </w:tcPr>
    </w:tblStylePr>
  </w:style>
  <w:style w:styleId="ColorfulList-Accent6" w:type="table">
    <w:name w:val="Colorful List Accent 6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348DA5" w:themeFill="accent5" w:themeFillShade="CC" w:val="clear"/>
      </w:tcPr>
    </w:tblStylePr>
    <w:tblStylePr w:type="lastRow">
      <w:rPr>
        <w:b/>
        <w:bCs/>
        <w:color w:themeColor="accent5" w:themeShade="CC" w:val="348DA5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shd w:color="auto" w:fill="FDE9D9" w:themeFill="accent6" w:themeFillTint="33" w:val="clear"/>
      </w:tcPr>
    </w:tblStylePr>
  </w:style>
  <w:style w:styleId="ColorfulGrid" w:type="table">
    <w:name w:val="Colorful Grid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CCCCC" w:themeFill="text1" w:themeFillTint="33" w:val="clear"/>
    </w:tcPr>
    <w:tblStylePr w:type="firstRow">
      <w:rPr>
        <w:b/>
        <w:bCs/>
      </w:rPr>
      <w:tblPr/>
      <w:tcPr>
        <w:shd w:color="auto" w:fill="999999" w:themeFill="tex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999999" w:themeFill="text1" w:themeFillTint="66" w:val="clear"/>
      </w:tcPr>
    </w:tblStylePr>
    <w:tblStylePr w:type="fir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la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ColorfulGrid-Accent1" w:type="table">
    <w:name w:val="Colorful Grid Accent 1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BE5F1" w:themeFill="accent1" w:themeFillTint="33" w:val="clear"/>
    </w:tcPr>
    <w:tblStylePr w:type="firstRow">
      <w:rPr>
        <w:b/>
        <w:bCs/>
      </w:rPr>
      <w:tblPr/>
      <w:tcPr>
        <w:shd w:color="auto" w:fill="B8CCE4" w:themeFill="accen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8CCE4" w:themeFill="accent1" w:themeFillTint="66" w:val="clear"/>
      </w:tcPr>
    </w:tblStylePr>
    <w:tblStylePr w:type="fir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la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ColorfulGrid-Accent2" w:type="table">
    <w:name w:val="Colorful Grid Accent 2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DBDB" w:themeFill="accent2" w:themeFillTint="33" w:val="clear"/>
    </w:tcPr>
    <w:tblStylePr w:type="firstRow">
      <w:rPr>
        <w:b/>
        <w:bCs/>
      </w:rPr>
      <w:tblPr/>
      <w:tcPr>
        <w:shd w:color="auto" w:fill="E5B8B7" w:themeFill="accent2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E5B8B7" w:themeFill="accent2" w:themeFillTint="66" w:val="clear"/>
      </w:tcPr>
    </w:tblStylePr>
    <w:tblStylePr w:type="fir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la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ColorfulGrid-Accent3" w:type="table">
    <w:name w:val="Colorful Grid Accent 3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AF1DD" w:themeFill="accent3" w:themeFillTint="33" w:val="clear"/>
    </w:tcPr>
    <w:tblStylePr w:type="firstRow">
      <w:rPr>
        <w:b/>
        <w:bCs/>
      </w:rPr>
      <w:tblPr/>
      <w:tcPr>
        <w:shd w:color="auto" w:fill="D6E3BC" w:themeFill="accent3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D6E3BC" w:themeFill="accent3" w:themeFillTint="66" w:val="clear"/>
      </w:tcPr>
    </w:tblStylePr>
    <w:tblStylePr w:type="fir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la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Grid-Accent4" w:type="table">
    <w:name w:val="Colorful Grid Accent 4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5DFEC" w:themeFill="accent4" w:themeFillTint="33" w:val="clear"/>
    </w:tcPr>
    <w:tblStylePr w:type="firstRow">
      <w:rPr>
        <w:b/>
        <w:bCs/>
      </w:rPr>
      <w:tblPr/>
      <w:tcPr>
        <w:shd w:color="auto" w:fill="CCC0D9" w:themeFill="accent4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CCC0D9" w:themeFill="accent4" w:themeFillTint="66" w:val="clear"/>
      </w:tcPr>
    </w:tblStylePr>
    <w:tblStylePr w:type="fir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la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ColorfulGrid-Accent5" w:type="table">
    <w:name w:val="Colorful Grid Accent 5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AEEF3" w:themeFill="accent5" w:themeFillTint="33" w:val="clear"/>
    </w:tcPr>
    <w:tblStylePr w:type="firstRow">
      <w:rPr>
        <w:b/>
        <w:bCs/>
      </w:rPr>
      <w:tblPr/>
      <w:tcPr>
        <w:shd w:color="auto" w:fill="B6DDE8" w:themeFill="accent5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6DDE8" w:themeFill="accent5" w:themeFillTint="66" w:val="clear"/>
      </w:tcPr>
    </w:tblStylePr>
    <w:tblStylePr w:type="fir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la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ColorfulGrid-Accent6" w:type="table">
    <w:name w:val="Colorful Grid Accent 6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9D9" w:themeFill="accent6" w:themeFillTint="33" w:val="clear"/>
    </w:tcPr>
    <w:tblStylePr w:type="firstRow">
      <w:rPr>
        <w:b/>
        <w:bCs/>
      </w:rPr>
      <w:tblPr/>
      <w:tcPr>
        <w:shd w:color="auto" w:fill="FBD4B4" w:themeFill="accent6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FBD4B4" w:themeFill="accent6" w:themeFillTint="66" w:val="clear"/>
      </w:tcPr>
    </w:tblStylePr>
    <w:tblStylePr w:type="fir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la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18" Type="http://schemas.openxmlformats.org/officeDocument/2006/relationships/numbering" Target="numbering.xml"/><Relationship Id="rId17" Type="http://schemas.openxmlformats.org/officeDocument/2006/relationships/styles" Target="styles.xml"/><Relationship Id="rId16" Type="http://schemas.openxmlformats.org/officeDocument/2006/relationships/settings" Target="settings.xml"/><Relationship Id="rId15" Type="http://schemas.openxmlformats.org/officeDocument/2006/relationships/webSettings" Target="webSettings.xml"/><Relationship Id="rId14" Type="http://schemas.openxmlformats.org/officeDocument/2006/relationships/fontTable" Target="fontTable.xml"/><Relationship Id="rId13" Type="http://schemas.openxmlformats.org/officeDocument/2006/relationships/theme" Target="theme/theme1.xml"/><Relationship Id="rId12" Type="http://schemas.openxmlformats.org/officeDocument/2006/relationships/footnotes" Target="footnotes.xml"/><Relationship Id="rId11" Type="http://schemas.openxmlformats.org/officeDocument/2006/relationships/comments" Target="comments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流量传感器电路</dc:title>
  <dc:creator>AI 智能体</dc:creator>
  <cp:keywords/>
  <dcterms:created xsi:type="dcterms:W3CDTF">2026-09-08T14:37:23Z</dcterms:created>
  <dcterms:modified xsi:type="dcterms:W3CDTF">2026-09-08T14:37:23Z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