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sk-调制电路"/>
    <w:p>
      <w:pPr>
        <w:pStyle w:val="Heading1"/>
      </w:pPr>
      <w:r>
        <w:t xml:space="preserve">FSK </w:t>
      </w:r>
      <w:r>
        <w:rPr>
          <w:rFonts w:hint="eastAsia"/>
        </w:rPr>
        <w:t xml:space="preserve">调制电路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两个（或多）频率源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OSC1/OSC2（或一个可切换频率的</w:t>
      </w:r>
      <w:r>
        <w:rPr>
          <w:b/>
          <w:bCs/>
        </w:rPr>
        <w:t xml:space="preserve"> VCO </w:t>
      </w:r>
      <w:r>
        <w:rPr>
          <w:rFonts w:hint="eastAsia"/>
          <w:b/>
          <w:bCs/>
        </w:rPr>
        <w:t xml:space="preserve">U1）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受数字基带控制的电子开关</w:t>
      </w:r>
      <w:r>
        <w:rPr>
          <w:b/>
          <w:bCs/>
        </w:rPr>
        <w:t xml:space="preserve"> S1</w:t>
      </w:r>
      <w:r>
        <w:t xml:space="preserve"> </w:t>
      </w:r>
      <w:r>
        <w:rPr>
          <w:rFonts w:hint="eastAsia"/>
        </w:rPr>
        <w:t xml:space="preserve">组成，按功能分为频率产生与键控切换两类。电路共有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频率源1节点</w:t>
      </w:r>
      <w:r>
        <w:rPr>
          <w:rFonts w:hint="eastAsia"/>
        </w:rPr>
        <w:t xml:space="preserve">（对应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频率源2节点</w:t>
      </w:r>
      <w:r>
        <w:rPr>
          <w:rFonts w:hint="eastAsia"/>
        </w:rPr>
        <w:t xml:space="preserve">（对应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基带控制节点</w:t>
      </w:r>
      <w:r>
        <w:rPr>
          <w:rFonts w:hint="eastAsia"/>
        </w:rPr>
        <w:t xml:space="preserve">（数字基带接开关/VCO</w:t>
      </w:r>
      <w:r>
        <w:t xml:space="preserve"> </w:t>
      </w:r>
      <w:r>
        <w:rPr>
          <w:rFonts w:hint="eastAsia"/>
        </w:rPr>
        <w:t xml:space="preserve">控制端）；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（开关或</w:t>
      </w:r>
      <w:r>
        <w:t xml:space="preserve"> VCO </w:t>
      </w:r>
      <w:r>
        <w:rPr>
          <w:rFonts w:hint="eastAsia"/>
        </w:rPr>
        <w:t xml:space="preserve">输出为</w:t>
      </w:r>
      <w:r>
        <w:t xml:space="preserve"> FSK </w:t>
      </w:r>
      <w:r>
        <w:rPr>
          <w:rFonts w:hint="eastAsia"/>
        </w:rPr>
        <w:t xml:space="preserve">信号）；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OSC1</w:t>
      </w:r>
      <w:r>
        <w:t xml:space="preserve"> </w:t>
      </w:r>
      <w:r>
        <w:rPr>
          <w:rFonts w:hint="eastAsia"/>
        </w:rPr>
        <w:t xml:space="preserve">的输出脚接节点①、电源脚接节点⑤、地脚接节点⑥；</w:t>
      </w:r>
      <w:r>
        <w:rPr>
          <w:b/>
          <w:bCs/>
        </w:rPr>
        <w:t xml:space="preserve">OSC2</w:t>
      </w:r>
      <w:r>
        <w:t xml:space="preserve"> </w:t>
      </w:r>
      <w:r>
        <w:rPr>
          <w:rFonts w:hint="eastAsia"/>
        </w:rPr>
        <w:t xml:space="preserve">的输出脚接节点②、电源脚接节点⑤、地脚接节点⑥；</w:t>
      </w:r>
      <w:r>
        <w:rPr>
          <w:rFonts w:hint="eastAsia"/>
          <w:b/>
          <w:bCs/>
        </w:rPr>
        <w:t xml:space="preserve">S1（电子开关）</w:t>
      </w:r>
      <w:r>
        <w:t xml:space="preserve"> </w:t>
      </w:r>
      <w:r>
        <w:rPr>
          <w:rFonts w:hint="eastAsia"/>
        </w:rPr>
        <w:t xml:space="preserve">的两个信号输入脚分别接节点①与节点②，控制（选通）脚接节点③（由基带信号驱动），输出脚接节点④，电源脚接节点⑤、地脚接节点⑥；若采用</w:t>
      </w:r>
      <w:r>
        <w:t xml:space="preserve"> </w:t>
      </w:r>
      <w:r>
        <w:rPr>
          <w:b/>
          <w:bCs/>
        </w:rPr>
        <w:t xml:space="preserve">VCO U1</w:t>
      </w:r>
      <w:r>
        <w:t xml:space="preserve"> </w:t>
      </w:r>
      <w:r>
        <w:rPr>
          <w:rFonts w:hint="eastAsia"/>
        </w:rPr>
        <w:t xml:space="preserve">直接调频实现连续相位</w:t>
      </w:r>
      <w:r>
        <w:t xml:space="preserve"> </w:t>
      </w:r>
      <w:r>
        <w:rPr>
          <w:rFonts w:hint="eastAsia"/>
        </w:rPr>
        <w:t xml:space="preserve">FSK（CPFSK），则</w:t>
      </w:r>
      <w:r>
        <w:t xml:space="preserve"> VCO </w:t>
      </w:r>
      <w:r>
        <w:rPr>
          <w:rFonts w:hint="eastAsia"/>
        </w:rPr>
        <w:t xml:space="preserve">的调制输入脚接节点③、输出脚接节点④、电源脚接节点⑤、地脚接节点⑥；基带信号源的数字输出接节点③。</w:t>
      </w:r>
    </w:p>
    <w:p>
      <w:pPr/>
      <w:r>
        <w:rPr>
          <w:rFonts w:hint="eastAsia"/>
        </w:rPr>
        <w:t xml:space="preserve">由此构成”数字基带在两频率间切换（或以</w:t>
      </w:r>
      <w:r>
        <w:t xml:space="preserve"> VCO </w:t>
      </w:r>
      <w:r>
        <w:rPr>
          <w:rFonts w:hint="eastAsia"/>
        </w:rPr>
        <w:t xml:space="preserve">直接调频）输出频移键控信号”的数字调频/FSK</w:t>
      </w:r>
      <w:r>
        <w:t xml:space="preserve"> </w:t>
      </w:r>
      <w:r>
        <w:rPr>
          <w:rFonts w:hint="eastAsia"/>
        </w:rPr>
        <w:t xml:space="preserve">调制组态，连续相位</w:t>
      </w:r>
      <w:r>
        <w:t xml:space="preserve"> FSK </w:t>
      </w:r>
      <w:r>
        <w:rPr>
          <w:rFonts w:hint="eastAsia"/>
        </w:rPr>
        <w:t xml:space="preserve">频谱更紧凑。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二进制”0”和”1”分别对应两个载波频率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，中心频率为二者均值。相邻码元间频率跳变。频谱由两载波及其旁瓣组成，带宽与频偏和码率相关。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2FSK </w:t>
      </w:r>
      <w:r>
        <w:rPr>
          <w:rFonts w:hint="eastAsia"/>
        </w:rPr>
        <w:t xml:space="preserve">主瓣带宽（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为调制指数）：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调制指数：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频偏（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中心频率）：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相干</w:t>
      </w:r>
      <w:r>
        <w:t xml:space="preserve"> 2FSK </w:t>
      </w:r>
      <w:r>
        <w:rPr>
          <w:rFonts w:hint="eastAsia"/>
        </w:rPr>
        <w:t xml:space="preserve">误码率：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两个键控频率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频偏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码率</w:t>
            </w:r>
          </w:p>
        </w:tc>
        <w:tc>
          <w:tcPr/>
          <w:p>
            <w:pPr>
              <w:pStyle w:val="Compact"/>
            </w:pPr>
            <w: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调制指数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误码率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频偏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f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两符号区分度提高、抗噪增强，但带宽增大。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码率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带宽增大，相邻符号间频差占比下降（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减小），性能变差。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频率源稳定度变差</w:t>
      </w:r>
      <w:r>
        <w:t xml:space="preserve"> </w:t>
      </w:r>
      <w:r>
        <w:t xml:space="preserve">→ </w:t>
      </w:r>
      <w:r>
        <w:rPr>
          <w:rFonts w:hint="eastAsia"/>
        </w:rPr>
        <w:t xml:space="preserve">中心频率漂移，接收解调误码率上升。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VCO </w:t>
      </w:r>
      <w:r>
        <w:rPr>
          <w:rFonts w:hint="eastAsia"/>
          <w:b/>
          <w:bCs/>
        </w:rPr>
        <w:t xml:space="preserve">频响非线性</w:t>
      </w:r>
      <w:r>
        <w:t xml:space="preserve"> </w:t>
      </w:r>
      <w:r>
        <w:t xml:space="preserve">→ </w:t>
      </w:r>
      <w:r>
        <w:rPr>
          <w:rFonts w:hint="eastAsia"/>
        </w:rPr>
        <w:t xml:space="preserve">频谱扩散，带外杂散增大。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2.019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2.021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kbit/s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t>h</m:t>
        </m:r>
        <m:r>
          <m:rPr>
            <m:sty m:val="p"/>
          </m:rPr>
          <m:t>=</m:t>
        </m:r>
        <m:r>
          <m:t>2000</m:t>
        </m:r>
        <m:r>
          <m:rPr>
            <m:sty m:val="p"/>
          </m:rPr>
          <m:t>/</m:t>
        </m:r>
        <m:r>
          <m:t>2000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B</m:t>
        </m:r>
        <m:r>
          <m:t>W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1000</m:t>
        </m:r>
        <m:r>
          <m:rPr>
            <m:sty m:val="p"/>
          </m:rPr>
          <m:t>+</m:t>
        </m:r>
        <m:r>
          <m:t>2000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7.8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可编程频率合成/DDS：AD9833、AD9850。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VCO：MC1648、MAX2606。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模拟开关：SN74LVC1G3157。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连续相位</w:t>
      </w:r>
      <w:r>
        <w:t xml:space="preserve"> </w:t>
      </w:r>
      <w:r>
        <w:rPr>
          <w:rFonts w:hint="eastAsia"/>
        </w:rPr>
        <w:t xml:space="preserve">FSK（CPFSK）频谱更紧凑，优先于硬切换的非连续相位</w:t>
      </w:r>
      <w:r>
        <w:t xml:space="preserve"> FSK。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两个载频需保持足够频率差以避免码间/符号间干扰。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实际设计中需带通滤波抑制旁瓣以满足邻道规范。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授权频段或</w:t>
      </w:r>
      <w:r>
        <w:t xml:space="preserve"> ISM </w:t>
      </w:r>
      <w:r>
        <w:rPr>
          <w:rFonts w:hint="eastAsia"/>
        </w:rPr>
        <w:t xml:space="preserve">频段使用时需符合频偏与发射功率限制。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Frequency-shift keying。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t xml:space="preserve">Analog Devices AD9833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FSK调制电路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FSK调制电路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