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7" w:name="psk-解调电路"/>
    <w:p>
      <w:pPr>
        <w:pStyle w:val="Heading1"/>
      </w:pPr>
      <w:r>
        <w:t xml:space="preserve">PSK </w:t>
      </w:r>
      <w:r>
        <w:rPr>
          <w:rFonts w:hint="eastAsia"/>
        </w:rPr>
        <w:t xml:space="preserve">解调电路</w:t>
      </w:r>
    </w:p>
    <w:bookmarkStart w:id="19" w:name="拓扑描述"/>
    <w:p>
      <w:pPr>
        <w:pStyle w:val="Heading2"/>
      </w:pPr>
      <w:r>
        <w:rPr>
          <w:rFonts w:hint="eastAsia"/>
        </w:rPr>
        <w:t xml:space="preserve">拓扑描述</w:t>
      </w:r>
    </w:p>
    <w:p>
      <w:pPr>
        <w:pStyle w:val="FirstParagraph"/>
      </w:pPr>
      <w:r>
        <w:rPr>
          <w:rFonts w:hint="eastAsia"/>
        </w:rPr>
        <w:t xml:space="preserve">由</w:t>
      </w:r>
      <w:r>
        <w:t xml:space="preserve"> </w:t>
      </w:r>
      <w:r>
        <w:rPr>
          <w:rFonts w:hint="eastAsia"/>
          <w:b/>
          <w:bCs/>
        </w:rPr>
        <w:t xml:space="preserve">本地载波恢复电路（Costas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环或平方环）PLL1</w:t>
      </w:r>
      <w:r>
        <w:t xml:space="preserve">、</w:t>
      </w:r>
      <w:r>
        <w:rPr>
          <w:rFonts w:hint="eastAsia"/>
          <w:b/>
          <w:bCs/>
        </w:rPr>
        <w:t xml:space="preserve">乘法器/混频器</w:t>
      </w:r>
      <w:r>
        <w:rPr>
          <w:b/>
          <w:bCs/>
        </w:rPr>
        <w:t xml:space="preserve"> M1</w:t>
      </w:r>
      <w:r>
        <w:t xml:space="preserve">、</w:t>
      </w:r>
      <w:r>
        <w:rPr>
          <w:rFonts w:hint="eastAsia"/>
          <w:b/>
          <w:bCs/>
        </w:rPr>
        <w:t xml:space="preserve">低通滤波器</w:t>
      </w:r>
      <w:r>
        <w:rPr>
          <w:b/>
          <w:bCs/>
        </w:rPr>
        <w:t xml:space="preserve"> A1</w:t>
      </w:r>
      <w:r>
        <w:t xml:space="preserve">、</w:t>
      </w:r>
      <w:r>
        <w:rPr>
          <w:rFonts w:hint="eastAsia"/>
          <w:b/>
          <w:bCs/>
        </w:rPr>
        <w:t xml:space="preserve">抽样判决器</w:t>
      </w:r>
      <w:r>
        <w:rPr>
          <w:b/>
          <w:bCs/>
        </w:rPr>
        <w:t xml:space="preserve"> U1</w:t>
      </w:r>
      <w:r>
        <w:t xml:space="preserve"> </w:t>
      </w:r>
      <w:r>
        <w:rPr>
          <w:rFonts w:hint="eastAsia"/>
        </w:rPr>
        <w:t xml:space="preserve">组成，按功能分为载波恢复、相干相乘、滤波与判决四类。电路共有</w:t>
      </w:r>
      <w:r>
        <w:t xml:space="preserve"> 7 </w:t>
      </w:r>
      <w:r>
        <w:rPr>
          <w:rFonts w:hint="eastAsia"/>
        </w:rPr>
        <w:t xml:space="preserve">个关键节点：</w:t>
      </w:r>
      <w:r>
        <w:rPr>
          <w:rFonts w:hint="eastAsia"/>
          <w:b/>
          <w:bCs/>
        </w:rPr>
        <w:t xml:space="preserve">节点①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已调信号输入节点</w:t>
      </w:r>
      <w:r>
        <w:rPr>
          <w:rFonts w:hint="eastAsia"/>
        </w:rPr>
        <w:t xml:space="preserve">（接收的</w:t>
      </w:r>
      <w:r>
        <w:t xml:space="preserve"> PSK </w:t>
      </w:r>
      <w:r>
        <w:rPr>
          <w:rFonts w:hint="eastAsia"/>
        </w:rPr>
        <w:t xml:space="preserve">信号）；</w:t>
      </w:r>
      <w:r>
        <w:rPr>
          <w:rFonts w:hint="eastAsia"/>
          <w:b/>
          <w:bCs/>
        </w:rPr>
        <w:t xml:space="preserve">节点②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恢复载波节点</w:t>
      </w:r>
      <w:r>
        <w:rPr>
          <w:rFonts w:hint="eastAsia"/>
        </w:rPr>
        <w:t xml:space="preserve">（PLL1</w:t>
      </w:r>
      <w:r>
        <w:t xml:space="preserve"> </w:t>
      </w:r>
      <w:r>
        <w:rPr>
          <w:rFonts w:hint="eastAsia"/>
        </w:rPr>
        <w:t xml:space="preserve">输出的相干载波）；</w:t>
      </w:r>
      <w:r>
        <w:rPr>
          <w:rFonts w:hint="eastAsia"/>
          <w:b/>
          <w:bCs/>
        </w:rPr>
        <w:t xml:space="preserve">节点③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乘积输出节点</w:t>
      </w:r>
      <w:r>
        <w:rPr>
          <w:rFonts w:hint="eastAsia"/>
        </w:rPr>
        <w:t xml:space="preserve">（M1</w:t>
      </w:r>
      <w:r>
        <w:t xml:space="preserve"> </w:t>
      </w:r>
      <w:r>
        <w:rPr>
          <w:rFonts w:hint="eastAsia"/>
        </w:rPr>
        <w:t xml:space="preserve">输出接</w:t>
      </w:r>
      <w:r>
        <w:t xml:space="preserve"> </w:t>
      </w:r>
      <w:r>
        <w:rPr>
          <w:rFonts w:hint="eastAsia"/>
        </w:rPr>
        <w:t xml:space="preserve">LPF）；</w:t>
      </w:r>
      <w:r>
        <w:rPr>
          <w:rFonts w:hint="eastAsia"/>
          <w:b/>
          <w:bCs/>
        </w:rPr>
        <w:t xml:space="preserve">节点④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基带输出节点</w:t>
      </w:r>
      <w:r>
        <w:rPr>
          <w:rFonts w:hint="eastAsia"/>
        </w:rPr>
        <w:t xml:space="preserve">（LPF</w:t>
      </w:r>
      <w:r>
        <w:t xml:space="preserve"> </w:t>
      </w:r>
      <w:r>
        <w:rPr>
          <w:rFonts w:hint="eastAsia"/>
        </w:rPr>
        <w:t xml:space="preserve">输出为</w:t>
      </w:r>
      <w:r>
        <w:t xml:space="preserve"> ±1 </w:t>
      </w:r>
      <w:r>
        <w:rPr>
          <w:rFonts w:hint="eastAsia"/>
        </w:rPr>
        <w:t xml:space="preserve">极性信号）；</w:t>
      </w:r>
      <w:r>
        <w:rPr>
          <w:rFonts w:hint="eastAsia"/>
          <w:b/>
          <w:bCs/>
        </w:rPr>
        <w:t xml:space="preserve">节点⑤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判决输出节点</w:t>
      </w:r>
      <w:r>
        <w:rPr>
          <w:rFonts w:hint="eastAsia"/>
        </w:rPr>
        <w:t xml:space="preserve">（抽样判决输出数字符号）；</w:t>
      </w:r>
      <w:r>
        <w:rPr>
          <w:rFonts w:hint="eastAsia"/>
          <w:b/>
          <w:bCs/>
        </w:rPr>
        <w:t xml:space="preserve">节点⑥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电源节点</w:t>
      </w:r>
      <w:r>
        <w:rPr>
          <w:b/>
          <w:bCs/>
        </w:rPr>
        <w:t xml:space="preserve"> +VCC</w:t>
      </w:r>
      <w:r>
        <w:rPr>
          <w:rFonts w:hint="eastAsia"/>
        </w:rPr>
        <w:t xml:space="preserve">；</w:t>
      </w:r>
      <w:r>
        <w:rPr>
          <w:rFonts w:hint="eastAsia"/>
          <w:b/>
          <w:bCs/>
        </w:rPr>
        <w:t xml:space="preserve">节点⑦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地节点</w:t>
      </w:r>
      <w:r>
        <w:rPr>
          <w:b/>
          <w:bCs/>
        </w:rPr>
        <w:t xml:space="preserve"> GND</w:t>
      </w:r>
      <w:r>
        <w:t xml:space="preserve">。</w:t>
      </w:r>
    </w:p>
    <w:p>
      <w:pPr/>
      <w:r>
        <w:rPr>
          <w:rFonts w:hint="eastAsia"/>
        </w:rPr>
        <w:t xml:space="preserve">各元件管脚连接：</w:t>
      </w:r>
      <w:r>
        <w:rPr>
          <w:rFonts w:hint="eastAsia"/>
          <w:b/>
          <w:bCs/>
        </w:rPr>
        <w:t xml:space="preserve">PLL1（Costas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环/平方环）</w:t>
      </w:r>
      <w:r>
        <w:t xml:space="preserve"> </w:t>
      </w:r>
      <w:r>
        <w:rPr>
          <w:rFonts w:hint="eastAsia"/>
        </w:rPr>
        <w:t xml:space="preserve">的信号输入脚接节点①、恢复载波输出脚接节点②（同时经</w:t>
      </w:r>
      <w:r>
        <w:t xml:space="preserve"> 90° </w:t>
      </w:r>
      <w:r>
        <w:rPr>
          <w:rFonts w:hint="eastAsia"/>
        </w:rPr>
        <w:t xml:space="preserve">移相接正交支路以构成</w:t>
      </w:r>
      <w:r>
        <w:t xml:space="preserve"> Costas </w:t>
      </w:r>
      <w:r>
        <w:rPr>
          <w:rFonts w:hint="eastAsia"/>
        </w:rPr>
        <w:t xml:space="preserve">环），电源脚接节点⑥、地脚接节点⑦；</w:t>
      </w:r>
      <w:r>
        <w:rPr>
          <w:rFonts w:hint="eastAsia"/>
          <w:b/>
          <w:bCs/>
        </w:rPr>
        <w:t xml:space="preserve">M1（乘法器/混频器）</w:t>
      </w:r>
      <w:r>
        <w:t xml:space="preserve"> </w:t>
      </w:r>
      <w:r>
        <w:rPr>
          <w:rFonts w:hint="eastAsia"/>
        </w:rPr>
        <w:t xml:space="preserve">的信号输入脚接节点①、本振输入脚接节点②、输出脚接节点③，电源脚接节点⑥、地脚接节点⑦；</w:t>
      </w:r>
      <w:r>
        <w:rPr>
          <w:rFonts w:hint="eastAsia"/>
          <w:b/>
          <w:bCs/>
        </w:rPr>
        <w:t xml:space="preserve">A1（LPF）</w:t>
      </w:r>
      <w:r>
        <w:t xml:space="preserve"> </w:t>
      </w:r>
      <w:r>
        <w:rPr>
          <w:rFonts w:hint="eastAsia"/>
        </w:rPr>
        <w:t xml:space="preserve">输入脚接节点③、输出脚接节点④；</w:t>
      </w:r>
      <w:r>
        <w:rPr>
          <w:rFonts w:hint="eastAsia"/>
          <w:b/>
          <w:bCs/>
        </w:rPr>
        <w:t xml:space="preserve">U1（抽样判决器）</w:t>
      </w:r>
      <w:r>
        <w:t xml:space="preserve"> </w:t>
      </w:r>
      <w:r>
        <w:rPr>
          <w:rFonts w:hint="eastAsia"/>
        </w:rPr>
        <w:t xml:space="preserve">信号输入脚接节点④、输出脚接节点⑤、时钟脚接位同步信号，电源脚接节点⑥、地脚接节点⑦。</w:t>
      </w:r>
    </w:p>
    <w:p>
      <w:pPr/>
      <w:r>
        <w:rPr>
          <w:rFonts w:hint="eastAsia"/>
        </w:rPr>
        <w:t xml:space="preserve">由此构成”PSK</w:t>
      </w:r>
      <w:r>
        <w:t xml:space="preserve"> </w:t>
      </w:r>
      <w:r>
        <w:rPr>
          <w:rFonts w:hint="eastAsia"/>
        </w:rPr>
        <w:t xml:space="preserve">信号与恢复的相干载波相乘、低通滤波与抽样判决恢复数字符号”的相干解调组态，BPSK</w:t>
      </w:r>
      <w:r>
        <w:t xml:space="preserve"> </w:t>
      </w:r>
      <w:r>
        <w:rPr>
          <w:rFonts w:hint="eastAsia"/>
        </w:rPr>
        <w:t xml:space="preserve">输出</w:t>
      </w:r>
      <w:r>
        <w:t xml:space="preserve"> ±1 </w:t>
      </w:r>
      <w:r>
        <w:rPr>
          <w:rFonts w:hint="eastAsia"/>
        </w:rPr>
        <w:t xml:space="preserve">极性信号，QPSK</w:t>
      </w:r>
      <w:r>
        <w:t xml:space="preserve"> </w:t>
      </w:r>
      <w:r>
        <w:rPr>
          <w:rFonts w:hint="eastAsia"/>
        </w:rPr>
        <w:t xml:space="preserve">分</w:t>
      </w:r>
      <w:r>
        <w:t xml:space="preserve"> I/Q </w:t>
      </w:r>
      <w:r>
        <w:rPr>
          <w:rFonts w:hint="eastAsia"/>
        </w:rPr>
        <w:t xml:space="preserve">两路判决。</w:t>
      </w:r>
    </w:p>
    <w:bookmarkEnd w:id="19"/>
    <w:bookmarkStart w:id="20" w:name="工作原理"/>
    <w:p>
      <w:pPr>
        <w:pStyle w:val="Heading2"/>
      </w:pPr>
      <w:r>
        <w:rPr>
          <w:rFonts w:hint="eastAsia"/>
        </w:rPr>
        <w:t xml:space="preserve">工作原理</w:t>
      </w:r>
    </w:p>
    <w:p>
      <w:pPr>
        <w:pStyle w:val="FirstParagraph"/>
      </w:pPr>
      <w:r>
        <w:t xml:space="preserve">PSK </w:t>
      </w:r>
      <w:r>
        <w:rPr>
          <w:rFonts w:hint="eastAsia"/>
        </w:rPr>
        <w:t xml:space="preserve">信号与本地再生载波相乘，把相位信息转换为基带极性信号（BPSK</w:t>
      </w:r>
      <w:r>
        <w:t xml:space="preserve"> </w:t>
      </w:r>
      <w:r>
        <w:rPr>
          <w:rFonts w:hint="eastAsia"/>
        </w:rPr>
        <w:t xml:space="preserve">输出</w:t>
      </w:r>
      <w:r>
        <w:t xml:space="preserve"> ±1 </w:t>
      </w:r>
      <w:r>
        <w:rPr>
          <w:rFonts w:hint="eastAsia"/>
        </w:rPr>
        <w:t xml:space="preserve">对应两个相位），再抽样判决。由于载波被抑制，需用</w:t>
      </w:r>
      <w:r>
        <w:t xml:space="preserve"> Costas </w:t>
      </w:r>
      <w:r>
        <w:rPr>
          <w:rFonts w:hint="eastAsia"/>
        </w:rPr>
        <w:t xml:space="preserve">环/平方环从信号中恢复出与发射同频同相的参考载波。</w:t>
      </w:r>
    </w:p>
    <w:bookmarkEnd w:id="20"/>
    <w:bookmarkStart w:id="21" w:name="关键计算公式"/>
    <w:p>
      <w:pPr>
        <w:pStyle w:val="Heading2"/>
      </w:pPr>
      <w:r>
        <w:rPr>
          <w:rFonts w:hint="eastAsia"/>
        </w:rPr>
        <w:t xml:space="preserve">关键计算公式</w:t>
      </w:r>
    </w:p>
    <w:p>
      <w:pPr>
        <w:numPr>
          <w:ilvl w:val="0"/>
          <w:numId w:val="1001"/>
        </w:numPr>
      </w:pPr>
      <w:r>
        <w:t xml:space="preserve">BPSK </w:t>
      </w:r>
      <w:r>
        <w:rPr>
          <w:rFonts w:hint="eastAsia"/>
        </w:rPr>
        <w:t xml:space="preserve">相干解调输出（</w:t>
      </w:r>
      <m:oMath>
        <m:sSub>
          <m:e>
            <m:r>
              <m:t>a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±</m:t>
        </m:r>
        <m:r>
          <m:t>1</m:t>
        </m:r>
      </m:oMath>
      <w:r>
        <w:rPr>
          <w:rFonts w:hint="eastAsia"/>
        </w:rPr>
        <w:t xml:space="preserve">）：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sSub>
            <m:e>
              <m:r>
                <m:t>v</m:t>
              </m:r>
            </m:e>
            <m:sub>
              <m:r>
                <m:t>o</m:t>
              </m:r>
            </m:sub>
          </m:sSub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A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num>
            <m:den>
              <m:r>
                <m:t>2</m:t>
              </m:r>
            </m:den>
          </m:f>
        </m:oMath>
      </m:oMathPara>
    </w:p>
    <w:p>
      <w:pPr>
        <w:numPr>
          <w:ilvl w:val="0"/>
          <w:numId w:val="1001"/>
        </w:numPr>
      </w:pPr>
      <w:r>
        <w:t xml:space="preserve">BPSK </w:t>
      </w:r>
      <w:r>
        <w:rPr>
          <w:rFonts w:hint="eastAsia"/>
        </w:rPr>
        <w:t xml:space="preserve">误码率：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e</m:t>
              </m:r>
            </m:sub>
          </m:sSub>
          <m:r>
            <m:rPr>
              <m:sty m:val="p"/>
            </m:rPr>
            <m:t>=</m:t>
          </m:r>
          <m:r>
            <m:t>Q</m:t>
          </m:r>
          <m:d>
            <m:dPr>
              <m:begChr m:val="("/>
              <m:sepChr m:val=""/>
              <m:endChr m:val=")"/>
              <m:grow/>
            </m:dPr>
            <m:e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  <m:sSub>
                        <m:e>
                          <m:r>
                            <m:t>E</m:t>
                          </m:r>
                        </m:e>
                        <m:sub>
                          <m:r>
                            <m:t>b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rad>
            </m:e>
          </m:d>
        </m:oMath>
      </m:oMathPara>
    </w:p>
    <w:p>
      <w:pPr>
        <w:numPr>
          <w:ilvl w:val="0"/>
          <w:numId w:val="1001"/>
        </w:numPr>
      </w:pPr>
      <w:r>
        <w:t xml:space="preserve">QPSK </w:t>
      </w:r>
      <w:r>
        <w:rPr>
          <w:rFonts w:hint="eastAsia"/>
        </w:rPr>
        <w:t xml:space="preserve">误符号率：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s</m:t>
              </m:r>
            </m:sub>
          </m:sSub>
          <m:r>
            <m:rPr>
              <m:sty m:val="p"/>
            </m:rPr>
            <m:t>≈</m:t>
          </m:r>
          <m:r>
            <m:t>2</m:t>
          </m:r>
          <m:r>
            <m:t>Q</m:t>
          </m:r>
          <m:d>
            <m:dPr>
              <m:begChr m:val="("/>
              <m:sepChr m:val=""/>
              <m:endChr m:val=")"/>
              <m:grow/>
            </m:dPr>
            <m:e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  <m:sSub>
                        <m:e>
                          <m:r>
                            <m:t>E</m:t>
                          </m:r>
                        </m:e>
                        <m:sub>
                          <m:r>
                            <m:t>b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rad>
            </m:e>
          </m:d>
        </m:oMath>
      </m:oMathPara>
    </w:p>
    <w:p>
      <w:pPr>
        <w:numPr>
          <w:ilvl w:val="0"/>
          <w:numId w:val="1001"/>
        </w:numPr>
      </w:pPr>
      <w:r>
        <w:rPr>
          <w:rFonts w:hint="eastAsia"/>
        </w:rPr>
        <w:t xml:space="preserve">载波相位误差造成的有效信噪比损失（</w:t>
      </w:r>
      <m:oMath>
        <m:r>
          <m:t>ϕ</m:t>
        </m:r>
      </m:oMath>
      <w:r>
        <w:t xml:space="preserve"> </w:t>
      </w:r>
      <w:r>
        <w:rPr>
          <w:rFonts w:hint="eastAsia"/>
        </w:rPr>
        <w:t xml:space="preserve">相位误差）：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r>
            <m:rPr>
              <m:sty m:val="p"/>
            </m:rPr>
            <m:t>Δ</m:t>
          </m:r>
          <m:r>
            <m:t>S</m:t>
          </m:r>
          <m:r>
            <m:t>N</m:t>
          </m:r>
          <m:r>
            <m:t>R</m:t>
          </m:r>
          <m:r>
            <m:rPr>
              <m:sty m:val="p"/>
            </m:rPr>
            <m:t>≈</m:t>
          </m:r>
          <m:r>
            <m:t>20</m:t>
          </m:r>
          <m:sSub>
            <m:e>
              <m:r>
                <m:rPr>
                  <m:sty m:val="p"/>
                </m:rPr>
                <m:t>log</m:t>
              </m:r>
            </m:e>
            <m:sub>
              <m:r>
                <m:t>10</m:t>
              </m:r>
            </m:sub>
          </m:sSub>
          <m:r>
            <m:rPr>
              <m:sty m:val="p"/>
            </m:rPr>
            <m:t>(</m:t>
          </m:r>
          <m:r>
            <m:rPr>
              <m:sty m:val="p"/>
            </m:rPr>
            <m:t>cos</m:t>
          </m:r>
          <m:r>
            <m:t>ϕ</m:t>
          </m:r>
          <m:r>
            <m:rPr>
              <m:sty m:val="p"/>
            </m:rPr>
            <m:t>)</m:t>
          </m:r>
          <m:r>
            <m:t> </m:t>
          </m:r>
          <m:r>
            <m:rPr>
              <m:nor/>
              <m:sty m:val="p"/>
            </m:rPr>
            <m:t>dB</m:t>
          </m:r>
        </m:oMath>
      </m:oMathPara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符号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含义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单位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A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载波幅度</w:t>
            </w:r>
          </w:p>
        </w:tc>
        <w:tc>
          <w:tcPr/>
          <w:p>
            <w:pPr>
              <w:pStyle w:val="Compact"/>
            </w:pPr>
            <w:r>
              <w:t xml:space="preserve">V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E</m:t>
                  </m:r>
                </m:e>
                <m:sub>
                  <m:r>
                    <m:t>b</m:t>
                  </m:r>
                </m:sub>
              </m:sSub>
              <m:r>
                <m:rPr>
                  <m:sty m:val="p"/>
                </m:rPr>
                <m:t>/</m:t>
              </m:r>
              <m:sSub>
                <m:e>
                  <m:r>
                    <m:t>N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归一化比特信噪比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P</m:t>
                  </m:r>
                </m:e>
                <m:sub>
                  <m:r>
                    <m:t>e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误码率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ϕ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载波相位误差</w:t>
            </w:r>
          </w:p>
        </w:tc>
        <w:tc>
          <w:tcPr/>
          <w:p>
            <w:pPr>
              <w:pStyle w:val="Compact"/>
            </w:pPr>
            <w:r>
              <w:t xml:space="preserve">rad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Δ</m:t>
              </m:r>
              <m:r>
                <m:t>S</m:t>
              </m:r>
              <m:r>
                <m:t>N</m:t>
              </m:r>
              <m:r>
                <m:t>R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信噪比损失</w:t>
            </w:r>
          </w:p>
        </w:tc>
        <w:tc>
          <w:tcPr/>
          <w:p>
            <w:pPr>
              <w:pStyle w:val="Compact"/>
            </w:pPr>
            <w:r>
              <w:t xml:space="preserve">dB</w:t>
            </w:r>
          </w:p>
        </w:tc>
      </w:tr>
    </w:tbl>
    <w:bookmarkEnd w:id="21"/>
    <w:bookmarkStart w:id="22" w:name="元件调整影响"/>
    <w:p>
      <w:pPr>
        <w:pStyle w:val="Heading2"/>
      </w:pPr>
      <w:r>
        <w:rPr>
          <w:rFonts w:hint="eastAsia"/>
        </w:rPr>
        <w:t xml:space="preserve">元件调整影响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载波相位误差增大</w:t>
      </w:r>
      <w:r>
        <w:t xml:space="preserve"> </w:t>
      </w:r>
      <w:r>
        <w:t xml:space="preserve">→ </w:t>
      </w:r>
      <w:r>
        <w:rPr>
          <w:rFonts w:hint="eastAsia"/>
        </w:rPr>
        <w:t xml:space="preserve">有效信噪比按</w:t>
      </w:r>
      <w:r>
        <w:t xml:space="preserve"> </w:t>
      </w:r>
      <m:oMath>
        <m:r>
          <m:rPr>
            <m:sty m:val="p"/>
          </m:rPr>
          <m:t>cos</m:t>
        </m:r>
        <m:r>
          <m:t>ϕ</m:t>
        </m:r>
      </m:oMath>
      <w:r>
        <w:t xml:space="preserve"> </w:t>
      </w:r>
      <w:r>
        <w:rPr>
          <w:rFonts w:hint="eastAsia"/>
        </w:rPr>
        <w:t xml:space="preserve">下降，误码率上升。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LPF </w:t>
      </w:r>
      <w:r>
        <w:rPr>
          <w:rFonts w:hint="eastAsia"/>
          <w:b/>
          <w:bCs/>
        </w:rPr>
        <w:t xml:space="preserve">带宽过大</w:t>
      </w:r>
      <w:r>
        <w:t xml:space="preserve"> </w:t>
      </w:r>
      <w:r>
        <w:t xml:space="preserve">→ </w:t>
      </w:r>
      <w:r>
        <w:rPr>
          <w:rFonts w:hint="eastAsia"/>
        </w:rPr>
        <w:t xml:space="preserve">噪声进入判决器，性能下降；过小则码间串扰增大。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Costas </w:t>
      </w:r>
      <w:r>
        <w:rPr>
          <w:rFonts w:hint="eastAsia"/>
          <w:b/>
          <w:bCs/>
        </w:rPr>
        <w:t xml:space="preserve">环环路带宽过窄</w:t>
      </w:r>
      <w:r>
        <w:t xml:space="preserve"> </w:t>
      </w:r>
      <w:r>
        <w:t xml:space="preserve">→ </w:t>
      </w:r>
      <w:r>
        <w:rPr>
          <w:rFonts w:hint="eastAsia"/>
        </w:rPr>
        <w:t xml:space="preserve">捕获与跟踪慢，过大则相位抖动大。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抽样时刻偏移（定时误差）</w:t>
      </w:r>
      <w:r>
        <w:t xml:space="preserve"> </w:t>
      </w:r>
      <w:r>
        <w:t xml:space="preserve">→ </w:t>
      </w:r>
      <w:r>
        <w:rPr>
          <w:rFonts w:hint="eastAsia"/>
        </w:rPr>
        <w:t xml:space="preserve">眼图闭合，判决裕量下降。</w:t>
      </w:r>
    </w:p>
    <w:bookmarkEnd w:id="22"/>
    <w:bookmarkStart w:id="23" w:name="典型参数示例"/>
    <w:p>
      <w:pPr>
        <w:pStyle w:val="Heading2"/>
      </w:pPr>
      <w:r>
        <w:rPr>
          <w:rFonts w:hint="eastAsia"/>
        </w:rPr>
        <w:t xml:space="preserve">典型参数示例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取</w:t>
      </w:r>
      <w:r>
        <w:t xml:space="preserve"> </w:t>
      </w:r>
      <m:oMath>
        <m:sSub>
          <m:e>
            <m:r>
              <m:t>E</m:t>
            </m:r>
          </m:e>
          <m:sub>
            <m:r>
              <m:t>b</m:t>
            </m:r>
          </m:sub>
        </m:sSub>
        <m:r>
          <m:rPr>
            <m:sty m:val="p"/>
          </m:rPr>
          <m:t>/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9.6</m:t>
        </m:r>
      </m:oMath>
      <w:r>
        <w:rPr>
          <w:rFonts w:hint="eastAsia"/>
        </w:rPr>
        <w:t xml:space="preserve">（9.8</w:t>
      </w:r>
      <w:r>
        <w:t xml:space="preserve"> </w:t>
      </w:r>
      <w:r>
        <w:rPr>
          <w:rFonts w:hint="eastAsia"/>
        </w:rPr>
        <w:t xml:space="preserve">dB，BPSK）：</w:t>
      </w:r>
      <m:oMath>
        <m:sSub>
          <m:e>
            <m:r>
              <m:t>P</m:t>
            </m:r>
          </m:e>
          <m:sub>
            <m:r>
              <m:t>e</m:t>
            </m:r>
          </m:sub>
        </m:sSub>
        <m:r>
          <m:rPr>
            <m:sty m:val="p"/>
          </m:rPr>
          <m:t>=</m:t>
        </m:r>
        <m:r>
          <m:t>Q</m:t>
        </m:r>
        <m:r>
          <m:rPr>
            <m:sty m:val="p"/>
          </m:rPr>
          <m:t>(</m:t>
        </m:r>
        <m:rad>
          <m:radPr>
            <m:degHide m:val="on"/>
          </m:radPr>
          <m:deg/>
          <m:e>
            <m:r>
              <m:t>19.2</m:t>
            </m:r>
          </m:e>
        </m:rad>
        <m:r>
          <m:rPr>
            <m:sty m:val="p"/>
          </m:rPr>
          <m:t>)</m:t>
        </m:r>
        <m:r>
          <m:rPr>
            <m:sty m:val="p"/>
          </m:rPr>
          <m:t>≈</m:t>
        </m:r>
        <m:r>
          <m:t>6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6</m:t>
            </m:r>
          </m:sup>
        </m:sSup>
      </m:oMath>
      <w:r>
        <w:t xml:space="preserve">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取</w:t>
      </w:r>
      <w:r>
        <w:t xml:space="preserve"> </w:t>
      </w:r>
      <m:oMath>
        <m:r>
          <m:t>ϕ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°</m:t>
        </m:r>
      </m:oMath>
      <w:r>
        <w:rPr>
          <w:rFonts w:hint="eastAsia"/>
        </w:rPr>
        <w:t xml:space="preserve">：</w:t>
      </w:r>
      <m:oMath>
        <m:r>
          <m:rPr>
            <m:sty m:val="p"/>
          </m:rPr>
          <m:t>Δ</m:t>
        </m:r>
        <m:r>
          <m:t>S</m:t>
        </m:r>
        <m:r>
          <m:t>N</m:t>
        </m:r>
        <m:r>
          <m:t>R</m:t>
        </m:r>
        <m:r>
          <m:rPr>
            <m:sty m:val="p"/>
          </m:rPr>
          <m:t>=</m:t>
        </m:r>
        <m:r>
          <m:t>20</m:t>
        </m:r>
        <m:sSub>
          <m:e>
            <m:r>
              <m:rPr>
                <m:sty m:val="p"/>
              </m:rPr>
              <m:t>log</m:t>
            </m:r>
          </m:e>
          <m:sub>
            <m:r>
              <m:t>10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cos</m:t>
        </m:r>
        <m:r>
          <m:t>10</m:t>
        </m:r>
        <m:r>
          <m:rPr>
            <m:sty m:val="p"/>
          </m:rPr>
          <m:t>°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rPr>
            <m:sty m:val="p"/>
          </m:rPr>
          <m:t>−</m:t>
        </m:r>
        <m:r>
          <m:t>0.133</m:t>
        </m:r>
        <m:r>
          <m:t> </m:t>
        </m:r>
        <m:r>
          <m:rPr>
            <m:nor/>
            <m:sty m:val="p"/>
          </m:rPr>
          <m:t>dB</m:t>
        </m:r>
      </m:oMath>
      <w:r>
        <w:t xml:space="preserve">。</w:t>
      </w:r>
    </w:p>
    <w:bookmarkEnd w:id="23"/>
    <w:bookmarkStart w:id="24" w:name="常见器件型号"/>
    <w:p>
      <w:pPr>
        <w:pStyle w:val="Heading2"/>
      </w:pPr>
      <w:r>
        <w:rPr>
          <w:rFonts w:hint="eastAsia"/>
        </w:rPr>
        <w:t xml:space="preserve">常见器件型号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正交解调器：ADL5380、LTC5584。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PLL（载波恢复）：ADF4001、HMC698。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比较器/ADC：用于抽样判决。</w:t>
      </w:r>
    </w:p>
    <w:bookmarkEnd w:id="24"/>
    <w:bookmarkStart w:id="25" w:name="注意事项"/>
    <w:p>
      <w:pPr>
        <w:pStyle w:val="Heading2"/>
      </w:pPr>
      <w:r>
        <w:rPr>
          <w:rFonts w:hint="eastAsia"/>
        </w:rPr>
        <w:t xml:space="preserve">注意事项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载波恢复是难点，Costas</w:t>
      </w:r>
      <w:r>
        <w:t xml:space="preserve"> </w:t>
      </w:r>
      <w:r>
        <w:rPr>
          <w:rFonts w:hint="eastAsia"/>
        </w:rPr>
        <w:t xml:space="preserve">环/平方环需正确设计以避免</w:t>
      </w:r>
      <w:r>
        <w:t xml:space="preserve"> 180° </w:t>
      </w:r>
      <w:r>
        <w:rPr>
          <w:rFonts w:hint="eastAsia"/>
        </w:rPr>
        <w:t xml:space="preserve">相位模糊。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相位模糊可通过差分编码（DPSK）或已知导频序列解决。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需精确的位同步（Gardner</w:t>
      </w:r>
      <w:r>
        <w:t xml:space="preserve"> </w:t>
      </w:r>
      <w:r>
        <w:rPr>
          <w:rFonts w:hint="eastAsia"/>
        </w:rPr>
        <w:t xml:space="preserve">算法等）确定最佳抽样时刻。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高阶</w:t>
      </w:r>
      <w:r>
        <w:t xml:space="preserve"> PSK </w:t>
      </w:r>
      <w:r>
        <w:rPr>
          <w:rFonts w:hint="eastAsia"/>
        </w:rPr>
        <w:t xml:space="preserve">对相位噪声与</w:t>
      </w:r>
      <w:r>
        <w:t xml:space="preserve"> I/Q </w:t>
      </w:r>
      <w:r>
        <w:rPr>
          <w:rFonts w:hint="eastAsia"/>
        </w:rPr>
        <w:t xml:space="preserve">不平衡敏感，需严格控制本振质量。</w:t>
      </w:r>
    </w:p>
    <w:bookmarkEnd w:id="25"/>
    <w:bookmarkStart w:id="26" w:name="参考资料"/>
    <w:p>
      <w:pPr>
        <w:pStyle w:val="Heading2"/>
      </w:pPr>
      <w:r>
        <w:rPr>
          <w:rFonts w:hint="eastAsia"/>
        </w:rPr>
        <w:t xml:space="preserve">参考资料</w:t>
      </w:r>
    </w:p>
    <w:p>
      <w:pPr>
        <w:pStyle w:val="Compact"/>
        <w:numPr>
          <w:ilvl w:val="0"/>
          <w:numId w:val="1006"/>
        </w:numPr>
      </w:pPr>
      <w:r>
        <w:t xml:space="preserve">Wikipedia: Phase-shift keying。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《通信原理》（樊昌信）。</w:t>
      </w:r>
    </w:p>
    <w:p>
      <w:pPr>
        <w:pStyle w:val="Compact"/>
        <w:numPr>
          <w:ilvl w:val="0"/>
          <w:numId w:val="1006"/>
        </w:numPr>
      </w:pPr>
      <w:r>
        <w:t xml:space="preserve">ADI ADL5380 </w:t>
      </w:r>
      <w:r>
        <w:rPr>
          <w:rFonts w:hint="eastAsia"/>
        </w:rPr>
        <w:t xml:space="preserve">数据手册。</w:t>
      </w:r>
    </w:p>
    <w:bookmarkEnd w:id="26"/>
    <w:bookmarkEnd w:id="27"/>
    <w:p>
      <w:pPr>
        <w:spacing w:before="360"/>
        <w:jc w:val="center"/>
      </w:pPr>
      <w:r>
        <w:rPr>
          <w:rFonts w:ascii="Times New Roman" w:hAnsi="Times New Roman"/>
          <w:color w:val="555555"/>
          <w:sz w:val="21"/>
        </w:rPr>
        <w:t>材料收集者：杜文杰</w:t>
      </w:r>
    </w:p>
    <w:sectPr w:rsidR="00FC693F" w:rsidRPr="0006063C" w:rsidSect="00034616">
      <w:headerReference r:id="rId9" w:type="default"/>
      <w:footerReference r:id="rId10" w:type="default"/>
      <w:pgSz w:h="16838" w:w="11906"/>
      <w:pgMar w:bottom="1134" w:footer="720" w:gutter="0" w:header="720" w:left="1361" w:right="1361" w:top="1247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  <w:t xml:space="preserve">第 </w:t>
    </w:r>
    <w:r>
      <w:rPr>
        <w:sz w:val="18"/>
      </w:rPr>
      <w:fldChar w:fldCharType="begin"/>
      <w:instrText xml:space="preserve">PAGE</w:instrText>
      <w:fldChar w:fldCharType="end"/>
    </w:r>
    <w:r>
      <w:rPr>
        <w:sz w:val="18"/>
      </w:rPr>
      <w:t xml:space="preserve"> 页</w:t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/>
        <w:sz w:val="18"/>
        <w:rFonts w:eastAsia="黑体"/>
        <w:rFonts w:eastAsia="黑体"/>
      </w:rPr>
      <w:t>PSK解调电路</w:t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80" w:line="300" w:lineRule="auto"/>
    </w:pPr>
    <w:rPr>
      <w:rFonts w:ascii="Times New Roman" w:eastAsia="黑体" w:hAnsi="Times New Roman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160" w:before="280"/>
      <w:outlineLvl w:val="0"/>
    </w:pPr>
    <w:rPr>
      <w:rFonts w:ascii="Times New Roman" w:asciiTheme="majorHAnsi" w:cstheme="majorBidi" w:eastAsia="黑体" w:eastAsiaTheme="majorEastAsia" w:hAnsi="Times New Roman" w:hAnsiTheme="majorHAnsi"/>
      <w:b/>
      <w:bCs/>
      <w:color w:val="1F3864"/>
      <w:sz w:val="32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120" w:before="240"/>
      <w:outlineLvl w:val="1"/>
    </w:pPr>
    <w:rPr>
      <w:rFonts w:ascii="Times New Roman" w:asciiTheme="majorHAnsi" w:cstheme="majorBidi" w:eastAsia="黑体" w:eastAsiaTheme="majorEastAsia" w:hAnsi="Times New Roman" w:hAnsiTheme="majorHAnsi"/>
      <w:b/>
      <w:bCs/>
      <w:color w:val="2E4E7E"/>
      <w:sz w:val="28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120" w:before="200"/>
      <w:outlineLvl w:val="2"/>
    </w:pPr>
    <w:rPr>
      <w:rFonts w:ascii="Times New Roman" w:asciiTheme="majorHAnsi" w:cstheme="majorBidi" w:eastAsia="黑体" w:eastAsiaTheme="majorEastAsia" w:hAnsi="Times New Roman" w:hAnsiTheme="majorHAnsi"/>
      <w:b/>
      <w:bCs/>
      <w:color w:val="2E4E7E"/>
      <w:sz w:val="24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80" w:before="160"/>
      <w:outlineLvl w:val="3"/>
    </w:pPr>
    <w:rPr>
      <w:rFonts w:ascii="Times New Roman" w:asciiTheme="majorHAnsi" w:cstheme="majorBidi" w:eastAsia="黑体" w:eastAsiaTheme="majorEastAsia" w:hAnsi="Times New Roman" w:hAnsiTheme="majorHAnsi"/>
      <w:b/>
      <w:bCs/>
      <w:i/>
      <w:iCs/>
      <w:color w:val="333333"/>
      <w:sz w:val="22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60" w:before="120"/>
      <w:outlineLvl w:val="4"/>
    </w:pPr>
    <w:rPr>
      <w:rFonts w:ascii="Times New Roman" w:asciiTheme="majorHAnsi" w:cstheme="majorBidi" w:eastAsia="黑体" w:eastAsiaTheme="majorEastAsia" w:hAnsi="Times New Roman" w:hAnsiTheme="majorHAnsi"/>
      <w:b/>
      <w:color w:val="333333"/>
      <w:sz w:val="22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keepNext/>
      <w:pBdr>
        <w:bottom w:color="4F81BD" w:space="4" w:sz="8" w:themeColor="accent1" w:val="single"/>
      </w:pBdr>
      <w:spacing w:after="160" w:before="280" w:line="240" w:lineRule="auto"/>
      <w:contextualSpacing/>
    </w:pPr>
    <w:rPr>
      <w:rFonts w:ascii="Times New Roman" w:asciiTheme="majorHAnsi" w:cstheme="majorBidi" w:eastAsia="黑体" w:eastAsiaTheme="majorEastAsia" w:hAnsi="Times New Roman" w:hAnsiTheme="majorHAnsi"/>
      <w:b/>
      <w:color w:val="1F3864"/>
      <w:spacing w:val="5"/>
      <w:kern w:val="28"/>
      <w:sz w:val="44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pPr>
      <w:pBdr>
        <w:left w:color="2E4E7E" w:space="6" w:sz="12" w:val="single"/>
      </w:pBdr>
      <w:shd w:fill="F2F7FD" w:val="clear"/>
      <w:spacing w:after="40" w:before="40"/>
      <w:ind w:left="170" w:right="170"/>
    </w:pPr>
    <w:rPr>
      <w:rFonts w:ascii="Times New Roman" w:eastAsia="黑体" w:hAnsi="Times New Roman"/>
      <w:i/>
      <w:iCs/>
      <w:color w:themeColor="text1" w:val="000000"/>
      <w:sz w:val="21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18" Type="http://schemas.openxmlformats.org/officeDocument/2006/relationships/numbering" Target="numbering.xml"/><Relationship Id="rId17" Type="http://schemas.openxmlformats.org/officeDocument/2006/relationships/styles" Target="styles.xml"/><Relationship Id="rId16" Type="http://schemas.openxmlformats.org/officeDocument/2006/relationships/settings" Target="settings.xml"/><Relationship Id="rId15" Type="http://schemas.openxmlformats.org/officeDocument/2006/relationships/webSettings" Target="webSettings.xml"/><Relationship Id="rId14" Type="http://schemas.openxmlformats.org/officeDocument/2006/relationships/fontTable" Target="fontTable.xml"/><Relationship Id="rId13" Type="http://schemas.openxmlformats.org/officeDocument/2006/relationships/theme" Target="theme/theme1.xml"/><Relationship Id="rId12" Type="http://schemas.openxmlformats.org/officeDocument/2006/relationships/footnotes" Target="footnotes.xml"/><Relationship Id="rId11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PSK解调电路</dc:title>
  <dc:creator>AI 智能体</dc:creator>
  <cp:keywords/>
  <dcterms:created xsi:type="dcterms:W3CDTF">2026-09-08T14:37:24Z</dcterms:created>
  <dcterms:modified xsi:type="dcterms:W3CDTF">2026-09-08T14:37:24Z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