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桥结构"/>
    <w:p>
      <w:pPr>
        <w:pStyle w:val="Heading1"/>
      </w:pPr>
      <w:r>
        <w:rPr>
          <w:rFonts w:hint="eastAsia"/>
        </w:rPr>
        <w:t xml:space="preserve">半桥结构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两个开关元件（上管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与下管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串联跨接在电源正与地之间组成。电路共有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（与上管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半桥中点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与负载一端相连）；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地端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及负载另一端相连）。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接电源正端、S</w:t>
      </w:r>
      <w:r>
        <w:t xml:space="preserve"> </w:t>
      </w:r>
      <w:r>
        <w:rPr>
          <w:rFonts w:hint="eastAsia"/>
        </w:rPr>
        <w:t xml:space="preserve">接半桥中点、G</w:t>
      </w:r>
      <w:r>
        <w:t xml:space="preserve"> </w:t>
      </w:r>
      <w:r>
        <w:rPr>
          <w:rFonts w:hint="eastAsia"/>
        </w:rPr>
        <w:t xml:space="preserve">接上管驱动；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接半桥中点、S</w:t>
      </w:r>
      <w:r>
        <w:t xml:space="preserve"> </w:t>
      </w:r>
      <w:r>
        <w:rPr>
          <w:rFonts w:hint="eastAsia"/>
        </w:rPr>
        <w:t xml:space="preserve">接地端、G</w:t>
      </w:r>
      <w:r>
        <w:t xml:space="preserve"> </w:t>
      </w:r>
      <w:r>
        <w:rPr>
          <w:rFonts w:hint="eastAsia"/>
        </w:rPr>
        <w:t xml:space="preserve">接下管驱动；</w:t>
      </w:r>
      <w:r>
        <w:rPr>
          <w:rFonts w:hint="eastAsia"/>
          <w:b/>
          <w:bCs/>
        </w:rPr>
        <w:t xml:space="preserve">负载</w:t>
      </w:r>
      <w:r>
        <w:t xml:space="preserve"> </w:t>
      </w:r>
      <w:r>
        <w:rPr>
          <w:rFonts w:hint="eastAsia"/>
        </w:rPr>
        <w:t xml:space="preserve">一端接半桥中点、另一端接地端。上、下两管交替导通（互补</w:t>
      </w:r>
      <w:r>
        <w:t xml:space="preserve"> </w:t>
      </w:r>
      <w:r>
        <w:rPr>
          <w:rFonts w:hint="eastAsia"/>
        </w:rPr>
        <w:t xml:space="preserve">PWM），中点电压在高电平（近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）与低电平（近地）之间切换。</w:t>
      </w:r>
    </w:p>
    <w:p>
      <w:pPr/>
      <w:r>
        <w:rPr>
          <w:rFonts w:hint="eastAsia"/>
        </w:rPr>
        <w:t xml:space="preserve">由此构成”上下两管串联跨接于电源正与地之间、负载接于中点”的半桥组态，比全桥少两个开关，是开关电源、逆变、电机驱动及栅极驱动的基本单元。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上、下两管交替导通（互补</w:t>
      </w:r>
      <w:r>
        <w:t xml:space="preserve"> </w:t>
      </w:r>
      <w:r>
        <w:rPr>
          <w:rFonts w:hint="eastAsia"/>
        </w:rPr>
        <w:t xml:space="preserve">PWM），中点电压在高电平（近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）与低电平（近地）之间切换。两管禁止同时导通，中点输出的方波电压经滤波或直接驱动负载。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中点平均电压（上管占空比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中点电压摆幅（峰峰值）：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电感电流纹波（降压半桥，开关周期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死区时间与开关周期的关系（示意）：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中点平均电压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上管占空比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电感电流纹波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D↑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中点平均电压上升，输出功率增大。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开关频率↑（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  <w:b/>
          <w:bCs/>
        </w:rPr>
        <w:t xml:space="preserve">↓）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电感纹波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减小，但开关损耗增大。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电感</w:t>
      </w:r>
      <w:r>
        <w:rPr>
          <w:b/>
          <w:bCs/>
        </w:rPr>
        <w:t xml:space="preserve"> L↑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电流纹波减小、输出更平滑，但动态响应变慢。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死区时间过长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输出失真、效率略降；过短</w:t>
      </w:r>
      <w:r>
        <w:t xml:space="preserve"> → </w:t>
      </w:r>
      <w:r>
        <w:rPr>
          <w:rFonts w:hint="eastAsia"/>
        </w:rPr>
        <w:t xml:space="preserve">有直通风险。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0.3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MOSFET：IRFZ44N、IRF3205、AO3400、IR2104（半桥栅极驱动）。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栅极驱动：IR2104、IR2110、UCC27200。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上、下管严禁同时导通，务必设置死区时间防止直通。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上管驱动需自举电路或隔离驱动提供浮动栅压。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感性负载须有续流路径，防止关断时电压尖峰击穿器件。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t xml:space="preserve">Wikipedia: Half-bridge。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TI（Bootstrap</w:t>
      </w:r>
      <w:r>
        <w:t xml:space="preserve"> / </w:t>
      </w:r>
      <w:r>
        <w:rPr>
          <w:rFonts w:hint="eastAsia"/>
        </w:rPr>
        <w:t xml:space="preserve">半桥驱动应用笔记）。</w:t>
      </w:r>
    </w:p>
    <w:p>
      <w:pPr>
        <w:pStyle w:val="Compact"/>
        <w:numPr>
          <w:ilvl w:val="0"/>
          <w:numId w:val="1005"/>
        </w:numPr>
      </w:pPr>
      <w:r>
        <w:t xml:space="preserve">Infineon IR2104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半桥结构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半桥结构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