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结构"/>
    <w:p>
      <w:pPr>
        <w:pStyle w:val="Heading1"/>
      </w:pPr>
      <w:r>
        <w:t xml:space="preserve">H </w:t>
      </w:r>
      <w:r>
        <w:rPr>
          <w:rFonts w:hint="eastAsia"/>
        </w:rPr>
        <w:t xml:space="preserve">桥结构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四个开关元件（MOSFET/晶体管）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组成”H”形桥臂，上、下桥臂分别接电源正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与左侧上管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D、右侧上管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（与左侧下管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</w:t>
      </w:r>
      <w:r>
        <w:rPr>
          <w:rFonts w:hint="eastAsia"/>
        </w:rPr>
        <w:t xml:space="preserve">S、右侧下管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左桥臂中点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右桥臂中点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接左桥臂中点</w:t>
      </w:r>
      <w:r>
        <w:t xml:space="preserve"> A、G </w:t>
      </w:r>
      <w:r>
        <w:rPr>
          <w:rFonts w:hint="eastAsia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接左桥臂中点</w:t>
      </w:r>
      <w:r>
        <w:t xml:space="preserve"> A、S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接右桥臂中点</w:t>
      </w:r>
      <w:r>
        <w:t xml:space="preserve"> B、G </w:t>
      </w:r>
      <w:r>
        <w:rPr>
          <w:rFonts w:hint="eastAsia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接右桥臂中点</w:t>
      </w:r>
      <w:r>
        <w:t xml:space="preserve"> B、S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接右臂下管驱动；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一端接左桥臂中点</w:t>
      </w:r>
      <w:r>
        <w:t xml:space="preserve"> </w:t>
      </w:r>
      <w:r>
        <w:rPr>
          <w:rFonts w:hint="eastAsia"/>
        </w:rPr>
        <w:t xml:space="preserve">A、另一端接右桥臂中点</w:t>
      </w:r>
      <w:r>
        <w:t xml:space="preserve"> B。</w:t>
      </w:r>
    </w:p>
    <w:p>
      <w:pPr/>
      <w:r>
        <w:rPr>
          <w:rFonts w:hint="eastAsia"/>
        </w:rPr>
        <w:t xml:space="preserve">由此构成”四只开关组成两桥臂、负载跨接于左右桥臂中点”的全桥（H</w:t>
      </w:r>
      <w:r>
        <w:t xml:space="preserve"> </w:t>
      </w:r>
      <w:r>
        <w:rPr>
          <w:rFonts w:hint="eastAsia"/>
        </w:rPr>
        <w:t xml:space="preserve">桥）组态，通过成对导通对角开关使负载电压反向，用于电机正反转、双向驱动与</w:t>
      </w:r>
      <w:r>
        <w:t xml:space="preserve"> PWM </w:t>
      </w:r>
      <w:r>
        <w:rPr>
          <w:rFonts w:hint="eastAsia"/>
        </w:rPr>
        <w:t xml:space="preserve">调速。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对角开关对（如左上+右下）导通时电流沿一个方向流过负载；换为另一对角开关对导通时电流反向。由此在负载上得到可切换极性的电压，配合</w:t>
      </w:r>
      <w:r>
        <w:t xml:space="preserve"> PWM </w:t>
      </w:r>
      <w:r>
        <w:rPr>
          <w:rFonts w:hint="eastAsia"/>
        </w:rPr>
        <w:t xml:space="preserve">可调节输出电压平均值。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桥臂中点电压（左臂开关占空比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负载端电压（两桥臂占空比之差）：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负载平均电流：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两桥臂中点电压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负载端平均电压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占空比差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负载平均电压上升（差值越大调速越接近满幅）。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负载电压、电流同步上升，需注意器件耐压。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开关导通电阻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导通损耗下降、效率提高、发热减小。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开关频率↑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0.75</m:t>
        </m:r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，若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，单管导通损耗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MOSFET：IRFZ44N、IRF3205、AO3400。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集成电机驱动：L298N（双</w:t>
      </w:r>
      <w:r>
        <w:t xml:space="preserve"> H </w:t>
      </w:r>
      <w:r>
        <w:rPr>
          <w:rFonts w:hint="eastAsia"/>
        </w:rPr>
        <w:t xml:space="preserve">桥）、L293D、DRV8833、TB6612FNG。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严禁同一桥臂上下两管同时导通（直通/穿通），需设置死区时间。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感性负载（电机）需加续流二极管或利用体二极管保护开关。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大电流时需保证散热与</w:t>
      </w:r>
      <w:r>
        <w:t xml:space="preserve"> PCB </w:t>
      </w:r>
      <w:r>
        <w:rPr>
          <w:rFonts w:hint="eastAsia"/>
        </w:rPr>
        <w:t xml:space="preserve">走线载流能力。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t xml:space="preserve">TI DRV8833 </w:t>
      </w:r>
      <w:r>
        <w:rPr>
          <w:rFonts w:hint="eastAsia"/>
        </w:rPr>
        <w:t xml:space="preserve">产品页</w:t>
      </w:r>
      <w:r>
        <w:t xml:space="preserve"> /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t xml:space="preserve">ST L298N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H桥结构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