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跟踪稳压电路"/>
    <w:p>
      <w:pPr>
        <w:pStyle w:val="Heading1"/>
      </w:pPr>
      <w:r>
        <w:rPr>
          <w:rFonts w:hint="eastAsia"/>
        </w:rPr>
        <w:t xml:space="preserve">跟踪稳压电路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主稳压电源</w:t>
      </w:r>
      <w:r>
        <w:rPr>
          <w:b/>
          <w:bCs/>
        </w:rPr>
        <w:t xml:space="preserve"> M</w:t>
      </w:r>
      <w:r>
        <w:t xml:space="preserve">、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反相比例电阻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与（可选）</w:t>
      </w:r>
      <w:r>
        <w:rPr>
          <w:b/>
          <w:bCs/>
        </w:rPr>
        <w:t xml:space="preserve">PNP </w:t>
      </w:r>
      <w:r>
        <w:rPr>
          <w:rFonts w:hint="eastAsia"/>
          <w:b/>
          <w:bCs/>
        </w:rPr>
        <w:t xml:space="preserve">跟随功率管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组成的双路跟踪稳压电路。电路共有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正输出参考节点</w:t>
      </w:r>
      <w:r>
        <w:rPr>
          <w:rFonts w:hint="eastAsia"/>
        </w:rPr>
        <w:t xml:space="preserve">（主电源</w:t>
      </w:r>
      <w:r>
        <w:t xml:space="preserve"> M </w:t>
      </w:r>
      <w:r>
        <w:rPr>
          <w:rFonts w:hint="eastAsia"/>
        </w:rPr>
        <w:t xml:space="preserve">的正输出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反相输入节点（虚地）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与公共地</w:t>
      </w:r>
      <w:r>
        <w:t xml:space="preserve"> GND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输出相连）；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公共地节点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（主电源</w:t>
      </w:r>
      <w:r>
        <w:t xml:space="preserve"> M </w:t>
      </w:r>
      <w:r>
        <w:rPr>
          <w:rFonts w:hint="eastAsia"/>
        </w:rPr>
        <w:t xml:space="preserve">的公共脚、A1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与电路地相连）。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</w:t>
      </w:r>
      <w:r>
        <w:t xml:space="preserve"> </w:t>
      </w:r>
      <w:r>
        <w:rPr>
          <w:rFonts w:hint="eastAsia"/>
        </w:rPr>
        <w:t xml:space="preserve">的正输出端接节点①、公共脚接地节点</w:t>
      </w:r>
      <w:r>
        <w:t xml:space="preserve"> </w:t>
      </w:r>
      <w:r>
        <w:rPr>
          <w:rFonts w:hint="eastAsia"/>
        </w:rPr>
        <w:t xml:space="preserve">GND（其输入接原始电源）；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一端接节点①、另一端接反相输入节点；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一端接反相输入节点、另一端接负输出节点；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接反相输入节点、OUT</w:t>
      </w:r>
      <w:r>
        <w:t xml:space="preserve"> </w:t>
      </w:r>
      <w:r>
        <w:rPr>
          <w:rFonts w:hint="eastAsia"/>
        </w:rPr>
        <w:t xml:space="preserve">接负输出节点、正电源脚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−VEE（或地）；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（选用时）基极</w:t>
      </w:r>
      <w:r>
        <w:t xml:space="preserve"> B </w:t>
      </w:r>
      <w:r>
        <w:rPr>
          <w:rFonts w:hint="eastAsia"/>
        </w:rPr>
        <w:t xml:space="preserve">接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OUT、集电极</w:t>
      </w:r>
      <w:r>
        <w:t xml:space="preserve"> C </w:t>
      </w:r>
      <w:r>
        <w:rPr>
          <w:rFonts w:hint="eastAsia"/>
        </w:rPr>
        <w:t xml:space="preserve">接负电源、发射极</w:t>
      </w:r>
      <w:r>
        <w:t xml:space="preserve"> E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，作射随器扩流。</w:t>
      </w:r>
    </w:p>
    <w:p>
      <w:pPr/>
      <w:r>
        <w:rPr>
          <w:rFonts w:hint="eastAsia"/>
        </w:rPr>
        <w:t xml:space="preserve">由此构成”主路输出经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反相放大、从路输出严格为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“的反相跟踪组态，使正负两路始终保持严格比例；若取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，则得对称</w:t>
      </w:r>
      <w:r>
        <w:t xml:space="preserve"> </w:t>
      </w:r>
      <m:oMath>
        <m:r>
          <m:rPr>
            <m:sty m:val="p"/>
          </m:rPr>
          <m:t>±</m:t>
        </m:r>
        <m:r>
          <m:t>V</m:t>
        </m:r>
      </m:oMath>
      <w:r>
        <w:t xml:space="preserve"> </w:t>
      </w:r>
      <w:r>
        <w:rPr>
          <w:rFonts w:hint="eastAsia"/>
        </w:rPr>
        <w:t xml:space="preserve">双电源。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主通道提供基准电压，从通道通过运放构成单位增益反相放大器或射极跟随器，使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严格等于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（或某一比例）。无论负载或输入如何变化，从路始终”跟踪”主路，保持两路对称。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对称正负输出（反相跟踪）：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+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比例跟踪（分压电阻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+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反相放大器增益：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从路输出电压（运放非反相输入为主参考）：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两路跟踪误差：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正、负跟踪输出电压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反相比例电阻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反相放大器增益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反馈/输入电阻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跟踪误差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比例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负路相对正路幅值增大，改变跟踪比例。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反馈电阻失配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两路对称性变差，跟踪误差增大。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运放增益-带宽不足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高频下跟踪精度下降。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主通道负载突变</w:t>
      </w:r>
      <w:r>
        <w:t xml:space="preserve"> </w:t>
      </w:r>
      <w:r>
        <w:t xml:space="preserve">→ </w:t>
      </w:r>
      <w:r>
        <w:rPr>
          <w:rFonts w:hint="eastAsia"/>
        </w:rPr>
        <w:t xml:space="preserve">从路响应滞后，需足够带宽与去耦以保证动态跟踪。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对称</w:t>
      </w:r>
      <w:r>
        <w:t xml:space="preserve"> ±15 V </w:t>
      </w:r>
      <w:r>
        <w:rPr>
          <w:rFonts w:hint="eastAsia"/>
        </w:rPr>
        <w:t xml:space="preserve">跟踪：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，反相器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比例跟踪，取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，主</w:t>
      </w:r>
      <w:r>
        <w:t xml:space="preserve"> +5 V </w:t>
      </w:r>
      <w:r>
        <w:rPr>
          <w:rFonts w:hint="eastAsia"/>
        </w:rPr>
        <w:t xml:space="preserve">时从路为</w:t>
      </w:r>
      <w:r>
        <w:t xml:space="preserve"> -10 V。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运放：LM358、TL072、OPA2277、OPA2134。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主稳压器：LM317（正</w:t>
      </w:r>
      <w:r>
        <w:t xml:space="preserve"> + </w:t>
      </w:r>
      <w:r>
        <w:rPr>
          <w:rFonts w:hint="eastAsia"/>
        </w:rPr>
        <w:t xml:space="preserve">可调）、7815/7915</w:t>
      </w:r>
      <w:r>
        <w:t xml:space="preserve"> </w:t>
      </w:r>
      <w:r>
        <w:rPr>
          <w:rFonts w:hint="eastAsia"/>
        </w:rPr>
        <w:t xml:space="preserve">组合做对称源。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专用跟踪：LT1028</w:t>
      </w:r>
      <w:r>
        <w:t xml:space="preserve"> </w:t>
      </w:r>
      <w:r>
        <w:rPr>
          <w:rFonts w:hint="eastAsia"/>
        </w:rPr>
        <w:t xml:space="preserve">或仪表放大器配合精密电阻。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跟踪精度取决于反相/跟随级电阻匹配与运放开环增益，精密场合用高精度电阻和低失调运放。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从路的输出能力与带宽须匹配主路，动态负载下需检查瞬态跟踪误差。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对称双电源跟踪时注意公共地连接与去耦，避免地弹引入不对称。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应用笔记（对称电源/跟踪稳压设计）。</w:t>
      </w:r>
    </w:p>
    <w:p>
      <w:pPr>
        <w:pStyle w:val="Compact"/>
        <w:numPr>
          <w:ilvl w:val="0"/>
          <w:numId w:val="1006"/>
        </w:numPr>
      </w:pPr>
      <w:r>
        <w:t xml:space="preserve">Wikipedia: Voltage </w:t>
      </w:r>
      <w:r>
        <w:rPr>
          <w:rFonts w:hint="eastAsia"/>
        </w:rPr>
        <w:t xml:space="preserve">divider（比例跟踪基础）。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跟踪稳压电路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跟踪稳压电路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