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/>
        </w:rPr>
        <w:t xml:space="preserve">交错并联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个并联的</w:t>
      </w:r>
      <w:r>
        <w:rPr>
          <w:b/>
          <w:bCs/>
        </w:rPr>
        <w:t xml:space="preserve"> Boost </w:t>
      </w:r>
      <w:r>
        <w:rPr>
          <w:rFonts w:hint="eastAsia"/>
          <w:b/>
          <w:bCs/>
        </w:rPr>
        <w:t xml:space="preserve">单元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相含升压电感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、开关管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、续流二极管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共享的输入母线电容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、输出母线电容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正端、各相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相开关节点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（各相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负端、各相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各元件管脚连接（对第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相）：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一端接节点①、另一端接节点②_i；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接相位错开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的驱动信号、漏极</w:t>
      </w:r>
      <w:r>
        <w:t xml:space="preserve"> D </w:t>
      </w:r>
      <w:r>
        <w:rPr>
          <w:rFonts w:hint="eastAsia"/>
        </w:rPr>
        <w:t xml:space="preserve">接节点②_i、源极</w:t>
      </w:r>
      <w:r>
        <w:t xml:space="preserve"> S </w:t>
      </w:r>
      <w:r>
        <w:rPr>
          <w:rFonts w:hint="eastAsia"/>
        </w:rPr>
        <w:t xml:space="preserve">接节点④；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阳极接节点②_i、阴极接节点③；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由此构成各相开关以</w:t>
      </w:r>
      <w:r>
        <w:t xml:space="preserve"> </w:t>
      </w:r>
      <m:oMath>
        <m:r>
          <m:t>360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相位交错驱动、共享输入与输出母线的”交错并联</w:t>
      </w:r>
      <w:r>
        <w:t xml:space="preserve"> </w:t>
      </w:r>
      <w:r>
        <w:rPr>
          <w:rFonts w:hint="eastAsia"/>
        </w:rPr>
        <w:t xml:space="preserve">Boost”组态（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），通过纹波抵消把等效纹波频率提高到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、把单相电流应力降到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，广泛用于</w:t>
      </w:r>
      <w:r>
        <w:t xml:space="preserve"> CPU/GPU </w:t>
      </w:r>
      <w:r>
        <w:rPr>
          <w:rFonts w:hint="eastAsia"/>
        </w:rPr>
        <w:t xml:space="preserve">供电、汽车电源等大电流升压场合。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各相开关相位错开，使各相输入电流纹波在时间上相互叠加时部分相互抵消；当占空比满足纹波抵消条件时，输入与输出纹波幅值显著减小、等效纹波频率升高为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。整体功率由各相均分，单相器件仅承担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的电流。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每相平均电感电流：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每相电感电流纹波：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总输入电流纹波（纹波抵消后）：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该式在</w:t>
      </w:r>
      <w:r>
        <w:t xml:space="preserve"> </w:t>
      </w:r>
      <w:r>
        <w:rPr>
          <w:b/>
          <w:bCs/>
        </w:rPr>
        <w:t xml:space="preserve">CCM</w:t>
      </w:r>
      <w:r>
        <w:t xml:space="preserve">、</w:t>
      </w:r>
      <w:r>
        <w:rPr>
          <w:rFonts w:hint="eastAsia"/>
          <w:b/>
          <w:bCs/>
        </w:rPr>
        <w:t xml:space="preserve">理想开关</w:t>
      </w:r>
      <w:r>
        <w:rPr>
          <w:rFonts w:hint="eastAsia"/>
        </w:rPr>
        <w:t xml:space="preserve">，且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时成立；当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时，须对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取绝对值，或按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区间分段取值。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纹波抵消最佳占空比：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每相电感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相数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纹波抵消更强、单相电流应力更低，但成本与复杂度上升。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各相电感一致性</w:t>
      </w:r>
      <w:r>
        <w:t xml:space="preserve"> </w:t>
      </w:r>
      <w:r>
        <w:t xml:space="preserve">→ </w:t>
      </w:r>
      <w:r>
        <w:rPr>
          <w:rFonts w:hint="eastAsia"/>
        </w:rPr>
        <w:t xml:space="preserve">一致则均流与纹波抵消良好，不一致则电流失衡、抵消退化。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纹波与磁件减小，开关损耗增大。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占空比偏离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纹波抵消效果变差，输入/输出电容需相应加大。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控制方式（峰值/平均电流模式）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决定各相均流能力与动态响应。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48</m:t>
            </m:r>
          </m:den>
        </m:f>
        <m:r>
          <m:rPr>
            <m:sty m:val="p"/>
          </m:rPr>
          <m:t>=</m:t>
        </m:r>
        <m:r>
          <m:t>0.75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4 </w:t>
      </w:r>
      <w:r>
        <w:rPr>
          <w:rFonts w:hint="eastAsia"/>
        </w:rPr>
        <w:t xml:space="preserve">相、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400</m:t>
        </m:r>
        <m:r>
          <m:t> </m:t>
        </m:r>
        <m:r>
          <m:rPr>
            <m:nor/>
            <m:sty m:val="p"/>
          </m:rPr>
          <m:t>kHz</m:t>
        </m:r>
        <m:r>
          <m:rPr>
            <m:sty m:val="p"/>
          </m:rPr>
          <m:t>=</m:t>
        </m:r>
        <m:r>
          <m:t>1.6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；</w:t>
      </w:r>
      <m:oMath>
        <m:r>
          <m:t>D</m:t>
        </m:r>
        <m:r>
          <m:rPr>
            <m:sty m:val="p"/>
          </m:rPr>
          <m:t>=</m:t>
        </m:r>
        <m:r>
          <m:t>0.75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恰好处于最佳抵消点。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多相控制器：LTC3862、TPS40170、IR35204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各相布局与器件参数需严格对称，否则均流失衡导致单相过热。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交错相位由控制器保证，需核对驱动时序与占空比较准。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输入侧纹波抵消依赖于精确的占空比与相移，设计工况偏离时需重新核算纹波。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均流不良时需外加均流环（如采样各相电流做抖频/补偿）。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TPS40170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t xml:space="preserve">ADI LTC3862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