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逻辑电平匹配电路"/>
    <w:p>
      <w:pPr>
        <w:pStyle w:val="Heading1"/>
      </w:pPr>
      <w:r>
        <w:rPr>
          <w:rFonts w:hint="eastAsia"/>
        </w:rPr>
        <w:t xml:space="preserve">逻辑电平匹配电路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分压电阻网络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（或随电路形态不同用二极管、缓冲器、上拉电阻）与</w:t>
      </w:r>
      <w:r>
        <w:t xml:space="preserve"> </w:t>
      </w:r>
      <w:r>
        <w:rPr>
          <w:rFonts w:hint="eastAsia"/>
          <w:b/>
          <w:bCs/>
        </w:rPr>
        <w:t xml:space="preserve">两侧逻辑器件（驱动端、接收端）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输入信号节点</w:t>
      </w:r>
      <w:r>
        <w:rPr>
          <w:rFonts w:hint="eastAsia"/>
        </w:rPr>
        <w:t xml:space="preserve">（一侧逻辑输出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，如</w:t>
      </w:r>
      <w:r>
        <w:t xml:space="preserve"> 5 V </w:t>
      </w:r>
      <w:r>
        <w:rPr>
          <w:rFonts w:hint="eastAsia"/>
        </w:rPr>
        <w:t xml:space="preserve">逻辑）；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匹配输出节点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上端与接收端逻辑输入相连，即匹配后的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（GND，接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上拉电源节点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，上拉/缓冲抬升时接上拉电阻上端）。</w:t>
      </w:r>
    </w:p>
    <w:p>
      <w:pPr/>
      <w:r>
        <w:rPr>
          <w:rFonts w:hint="eastAsia"/>
        </w:rPr>
        <w:t xml:space="preserve">各管脚连接：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）、另一端接节点②；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一端接节点②、另一端接节点③（GND）；接收端逻辑器件的输入接节点②。若为开路漏极上拉升压，则上拉电阻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一端接节点④（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）、另一端接节点②；若用缓冲器，则其输入接节点①、输出接节点②、电源与地分别接对应逻辑电源和</w:t>
      </w:r>
      <w:r>
        <w:t xml:space="preserve"> </w:t>
      </w:r>
      <w:r>
        <w:rPr>
          <w:rFonts w:hint="eastAsia"/>
        </w:rPr>
        <w:t xml:space="preserve">GND；若用二极管钳位，则阳极接节点①、阴极接节点②。</w:t>
      </w:r>
    </w:p>
    <w:p>
      <w:pPr/>
      <w:r>
        <w:rPr>
          <w:rFonts w:hint="eastAsia"/>
        </w:rPr>
        <w:t xml:space="preserve">由此构成”用电阻分压将高侧电压降低、或用上拉/缓冲将低侧电压抬升，使跨电压域逻辑电平相互匹配”的逻辑电平匹配组态，以最简单方式保证不同供电电压器件的逻辑阈值兼容。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通过电阻分压（降压）或开路漏极配合上拉（升压），把一侧信号的逻辑高低电平移到另一侧器件可正确识别的范围内，保证跨电压域器件间逻辑电平兼容与可靠通信。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电阻分压（降压）：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分压比选取：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分压网络等效输出阻抗：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上拉电阻（开路漏极升压）：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2.2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输出电平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输入电平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高电平输入阈值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分压电阻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分压比增大（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比例↑）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输出电压抬高，需保证不超过目标器件高电平上限。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分压比减小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输出电压降低，过低会低于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判错。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分压电阻阻值增大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功耗降低，但输出阻抗上升、速度下降。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上拉电阻增大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功耗下降，但上升沿变慢。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5V </w:t>
      </w:r>
      <w:r>
        <w:rPr>
          <w:rFonts w:hint="eastAsia"/>
        </w:rPr>
        <w:t xml:space="preserve">驱动</w:t>
      </w:r>
      <w:r>
        <w:t xml:space="preserve"> 3.3V </w:t>
      </w:r>
      <w:r>
        <w:rPr>
          <w:rFonts w:hint="eastAsia"/>
        </w:rPr>
        <w:t xml:space="preserve">输入：取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3.33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网络输出阻抗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0.67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电阻：0603/0805</w:t>
      </w:r>
      <w:r>
        <w:t xml:space="preserve"> </w:t>
      </w:r>
      <w:r>
        <w:rPr>
          <w:rFonts w:hint="eastAsia"/>
        </w:rPr>
        <w:t xml:space="preserve">贴片电阻。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缓冲驱动器：74LVC、74AUP、SN74LVC1T45。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二极管（钳位用）：BAT54。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纯分压只降压、不升压，且带宽受</w:t>
      </w:r>
      <w:r>
        <w:t xml:space="preserve"> RC </w:t>
      </w:r>
      <w:r>
        <w:rPr>
          <w:rFonts w:hint="eastAsia"/>
        </w:rPr>
        <w:t xml:space="preserve">限制，高速时信号失真。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多路或需要双向时优先用专用电平转换芯片。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分压会耗静态电流，低功耗场合慎用。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Logic level。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应用笔记：Understanding</w:t>
      </w:r>
      <w:r>
        <w:t xml:space="preserve"> the LVC Logic Family。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逻辑电平匹配电路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逻辑电平匹配电路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