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可编程基准源电路"/>
    <w:p>
      <w:pPr>
        <w:pStyle w:val="Heading1"/>
      </w:pPr>
      <w:r>
        <w:rPr>
          <w:rFonts w:hint="eastAsia"/>
        </w:rPr>
        <w:t xml:space="preserve">可编程基准源电路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带隙基准核（或多位</w:t>
      </w:r>
      <w:r>
        <w:rPr>
          <w:b/>
          <w:bCs/>
        </w:rPr>
        <w:t xml:space="preserve"> DAC </w:t>
      </w:r>
      <w:r>
        <w:rPr>
          <w:rFonts w:hint="eastAsia"/>
          <w:b/>
          <w:bCs/>
        </w:rPr>
        <w:t xml:space="preserve">基准）U1</w:t>
      </w:r>
      <w:r>
        <w:t xml:space="preserve">、</w:t>
      </w:r>
      <w:r>
        <w:rPr>
          <w:rFonts w:hint="eastAsia"/>
          <w:b/>
          <w:bCs/>
        </w:rPr>
        <w:t xml:space="preserve">数字控制的电阻分压/数字电位计网络</w:t>
      </w:r>
      <w:r>
        <w:rPr>
          <w:b/>
          <w:bCs/>
        </w:rPr>
        <w:t xml:space="preserve"> RP1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输出缓冲运算放大器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U1、U2 </w:t>
      </w:r>
      <w:r>
        <w:rPr>
          <w:rFonts w:hint="eastAsia"/>
        </w:rPr>
        <w:t xml:space="preserve">的电源脚）；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U1、U2、RP1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基础基准节点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输出脚与</w:t>
      </w:r>
      <w:r>
        <w:t xml:space="preserve"> RP1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数字接口节点</w:t>
      </w:r>
      <w:r>
        <w:rPr>
          <w:rFonts w:hint="eastAsia"/>
        </w:rPr>
        <w:t xml:space="preserve">（SPI/I²C</w:t>
      </w:r>
      <w:r>
        <w:t xml:space="preserve"> </w:t>
      </w:r>
      <w:r>
        <w:rPr>
          <w:rFonts w:hint="eastAsia"/>
        </w:rPr>
        <w:t xml:space="preserve">或并行码线，连</w:t>
      </w:r>
      <w:r>
        <w:t xml:space="preserve"> RP1 </w:t>
      </w:r>
      <w:r>
        <w:rPr>
          <w:rFonts w:hint="eastAsia"/>
        </w:rPr>
        <w:t xml:space="preserve">的控制/数据脚）；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分压抽头节点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（连</w:t>
      </w:r>
      <w:r>
        <w:t xml:space="preserve"> RP1 </w:t>
      </w:r>
      <w:r>
        <w:rPr>
          <w:rFonts w:hint="eastAsia"/>
        </w:rPr>
        <w:t xml:space="preserve">抽头端与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脚与</w:t>
      </w:r>
      <w:r>
        <w:t xml:space="preserve"> IN− </w:t>
      </w:r>
      <w:r>
        <w:rPr>
          <w:rFonts w:hint="eastAsia"/>
        </w:rPr>
        <w:t xml:space="preserve">脚）。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的电源脚接节点①、地脚接节点②、输出脚接节点③；RP1</w:t>
      </w:r>
      <w:r>
        <w:t xml:space="preserve"> </w:t>
      </w:r>
      <w:r>
        <w:rPr>
          <w:rFonts w:hint="eastAsia"/>
        </w:rPr>
        <w:t xml:space="preserve">一端接节点③、另一端接节点②、抽头接节点⑤、控制/数据脚接节点④；U2</w:t>
      </w:r>
      <w:r>
        <w:t xml:space="preserve"> </w:t>
      </w:r>
      <w:r>
        <w:rPr>
          <w:rFonts w:hint="eastAsia"/>
        </w:rPr>
        <w:t xml:space="preserve">的</w:t>
      </w:r>
      <w:r>
        <w:t xml:space="preserve"> V+ </w:t>
      </w:r>
      <w:r>
        <w:rPr>
          <w:rFonts w:hint="eastAsia"/>
        </w:rPr>
        <w:t xml:space="preserve">接节点①、V−</w:t>
      </w:r>
      <w:r>
        <w:t xml:space="preserve">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接节点⑤、IN−</w:t>
      </w:r>
      <w:r>
        <w:t xml:space="preserve"> </w:t>
      </w:r>
      <w:r>
        <w:rPr>
          <w:rFonts w:hint="eastAsia"/>
        </w:rPr>
        <w:t xml:space="preserve">与</w:t>
      </w:r>
      <w:r>
        <w:t xml:space="preserve"> OUT </w:t>
      </w:r>
      <w:r>
        <w:rPr>
          <w:rFonts w:hint="eastAsia"/>
        </w:rPr>
        <w:t xml:space="preserve">短接后接节点⑥，构成单位增益缓冲器。数字码经节点④改变</w:t>
      </w:r>
      <w:r>
        <w:t xml:space="preserve"> RP1 </w:t>
      </w:r>
      <w:r>
        <w:rPr>
          <w:rFonts w:hint="eastAsia"/>
        </w:rPr>
        <w:t xml:space="preserve">的分压比，从而把基础基准电压按比例分压并经</w:t>
      </w:r>
      <w:r>
        <w:t xml:space="preserve"> U2 </w:t>
      </w:r>
      <w:r>
        <w:rPr>
          <w:rFonts w:hint="eastAsia"/>
        </w:rPr>
        <w:t xml:space="preserve">低阻抗输出。</w:t>
      </w:r>
    </w:p>
    <w:p>
      <w:pPr/>
      <w:r>
        <w:rPr>
          <w:rFonts w:hint="eastAsia"/>
        </w:rPr>
        <w:t xml:space="preserve">由此构成”数字码可编程分压比、运放缓冲输出”的可编程基准组态，输出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，用数字方式在量程内精确设定参考电压，用于需动态调整基准的场合。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内部产生一个高稳定基础基准电压，数字码改变可编程电阻网络的分压比，再经缓冲输出。输出电压等于基础基准乘以由码决定的比例，从而用数字方式精确设定输出电平。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分辨步长（LSB）：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增益误差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实际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理想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理想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编程位数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最小步长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编程位数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步长更细、分辨率提高，但接口与成本增加。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基础基准稳定度提高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全量程输出精度与温漂改善。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各码点输出成比例偏离，需校准。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缓冲运放带宽/驱动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决定负载能力与建立时间。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4.096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4.096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2048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4.096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2048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2.048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可编程基准：AD5231（数字电位计）、MCP4725（可编程</w:t>
      </w:r>
      <w:r>
        <w:t xml:space="preserve"> DAC </w:t>
      </w:r>
      <w:r>
        <w:rPr>
          <w:rFonts w:hint="eastAsia"/>
        </w:rPr>
        <w:t xml:space="preserve">作基准）、LTC2620。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带微调基准：REF50xx（带</w:t>
      </w:r>
      <w:r>
        <w:t xml:space="preserve"> SPI </w:t>
      </w:r>
      <w:r>
        <w:rPr>
          <w:rFonts w:hint="eastAsia"/>
        </w:rPr>
        <w:t xml:space="preserve">微调功能）。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编程码与输出电压的对应关系需查阅数据手册确认极性范围。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输出毛刺在码切换时可能产生，需滤波或屏蔽关键转换时刻。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数字接口噪声可能耦合到模拟输出，需良好地去耦与布局。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产品页：AD5231。</w:t>
      </w:r>
    </w:p>
    <w:p>
      <w:pPr>
        <w:pStyle w:val="Compact"/>
        <w:numPr>
          <w:ilvl w:val="0"/>
          <w:numId w:val="1006"/>
        </w:numPr>
      </w:pPr>
      <w:r>
        <w:t xml:space="preserve">Microchip </w:t>
      </w:r>
      <w:r>
        <w:rPr>
          <w:rFonts w:hint="eastAsia"/>
        </w:rPr>
        <w:t xml:space="preserve">产品页：MCP4725。</w:t>
      </w:r>
    </w:p>
    <w:p>
      <w:pPr>
        <w:pStyle w:val="Compact"/>
        <w:numPr>
          <w:ilvl w:val="0"/>
          <w:numId w:val="1006"/>
        </w:numPr>
      </w:pPr>
      <w:r>
        <w:t xml:space="preserve">Wikipedia: Voltage reference。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可编程基准源电路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可编程基准源电路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