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zigbee-收发电路"/>
    <w:p>
      <w:pPr>
        <w:pStyle w:val="Heading1"/>
      </w:pPr>
      <w:r>
        <w:t xml:space="preserve">ZigBee </w:t>
      </w:r>
      <w:r>
        <w:rPr>
          <w:rFonts w:hint="eastAsia"/>
        </w:rPr>
        <w:t xml:space="preserve">收发电路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ZigBee </w:t>
      </w:r>
      <w:r>
        <w:rPr>
          <w:rFonts w:hint="eastAsia"/>
          <w:b/>
          <w:bCs/>
        </w:rPr>
        <w:t xml:space="preserve">无线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SoC/模组（如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CC2530、CC2538、EFR32MG）U1</w:t>
      </w:r>
      <w:r>
        <w:t xml:space="preserve">、</w:t>
      </w:r>
      <w:r>
        <w:rPr>
          <w:rFonts w:hint="eastAsia"/>
          <w:b/>
          <w:bCs/>
        </w:rPr>
        <w:t xml:space="preserve">晶振</w:t>
      </w:r>
      <w:r>
        <w:rPr>
          <w:b/>
          <w:bCs/>
        </w:rPr>
        <w:t xml:space="preserve"> Y1</w:t>
      </w:r>
      <w:r>
        <w:t xml:space="preserve">、</w:t>
      </w:r>
      <w:r>
        <w:rPr>
          <w:rFonts w:hint="eastAsia"/>
          <w:b/>
          <w:bCs/>
        </w:rPr>
        <w:t xml:space="preserve">天线及匹配网络（巴伦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Balun）</w:t>
      </w:r>
      <w:r>
        <w:t xml:space="preserve">、</w:t>
      </w:r>
      <w:r>
        <w:rPr>
          <w:rFonts w:hint="eastAsia"/>
          <w:b/>
          <w:bCs/>
        </w:rPr>
        <w:t xml:space="preserve">电源滤波</w:t>
      </w:r>
      <w:r>
        <w:t xml:space="preserve"> </w:t>
      </w:r>
      <w:r>
        <w:rPr>
          <w:rFonts w:hint="eastAsia"/>
        </w:rPr>
        <w:t xml:space="preserve">组成，按功能分为射频、时钟、电源与网络四类。SoC</w:t>
      </w:r>
      <w:r>
        <w:t xml:space="preserve"> </w:t>
      </w:r>
      <w:r>
        <w:rPr>
          <w:rFonts w:hint="eastAsia"/>
        </w:rPr>
        <w:t xml:space="preserve">内部集成</w:t>
      </w:r>
      <w:r>
        <w:t xml:space="preserve"> 8051/ARM </w:t>
      </w:r>
      <w:r>
        <w:rPr>
          <w:rFonts w:hint="eastAsia"/>
        </w:rPr>
        <w:t xml:space="preserve">内核、IEEE</w:t>
      </w:r>
      <w:r>
        <w:t xml:space="preserve"> 802.15.4 </w:t>
      </w:r>
      <w:r>
        <w:rPr>
          <w:rFonts w:hint="eastAsia"/>
        </w:rPr>
        <w:t xml:space="preserve">射频收发机和</w:t>
      </w:r>
      <w:r>
        <w:t xml:space="preserve"> </w:t>
      </w:r>
      <w:r>
        <w:rPr>
          <w:rFonts w:hint="eastAsia"/>
        </w:rPr>
        <w:t xml:space="preserve">MAC，外接天线即可组网，工作在</w:t>
      </w:r>
      <w:r>
        <w:t xml:space="preserve"> 2.4 GHz / 915 / 868 MHz </w:t>
      </w:r>
      <w:r>
        <w:rPr>
          <w:rFonts w:hint="eastAsia"/>
        </w:rPr>
        <w:t xml:space="preserve">频段。电路共有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天线射频节点</w:t>
      </w:r>
      <w:r>
        <w:rPr>
          <w:rFonts w:hint="eastAsia"/>
        </w:rPr>
        <w:t xml:space="preserve">（天线与匹配网络相连）；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巴伦单端节点</w:t>
      </w:r>
      <w:r>
        <w:rPr>
          <w:rFonts w:hint="eastAsia"/>
        </w:rPr>
        <w:t xml:space="preserve">（匹配网络与巴伦单端脚相连）；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差分射频节点</w:t>
      </w:r>
      <w:r>
        <w:rPr>
          <w:rFonts w:hint="eastAsia"/>
        </w:rPr>
        <w:t xml:space="preserve">（巴伦差分支路接</w:t>
      </w:r>
      <w:r>
        <w:t xml:space="preserve"> U1 </w:t>
      </w:r>
      <w:r>
        <w:rPr>
          <w:rFonts w:hint="eastAsia"/>
        </w:rPr>
        <w:t xml:space="preserve">的差分射频脚）；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参考时钟节点</w:t>
      </w:r>
      <w:r>
        <w:rPr>
          <w:rFonts w:hint="eastAsia"/>
        </w:rPr>
        <w:t xml:space="preserve">（Y1</w:t>
      </w:r>
      <w:r>
        <w:t xml:space="preserve"> </w:t>
      </w:r>
      <w:r>
        <w:rPr>
          <w:rFonts w:hint="eastAsia"/>
        </w:rPr>
        <w:t xml:space="preserve">与</w:t>
      </w:r>
      <w:r>
        <w:t xml:space="preserve"> U1 </w:t>
      </w:r>
      <w:r>
        <w:rPr>
          <w:rFonts w:hint="eastAsia"/>
        </w:rPr>
        <w:t xml:space="preserve">的晶振脚相连）；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+VCC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天线</w:t>
      </w:r>
      <w:r>
        <w:rPr>
          <w:rFonts w:hint="eastAsia"/>
        </w:rPr>
        <w:t xml:space="preserve">的馈电端接节点①；</w:t>
      </w:r>
      <w:r>
        <w:rPr>
          <w:rFonts w:hint="eastAsia"/>
          <w:b/>
          <w:bCs/>
        </w:rPr>
        <w:t xml:space="preserve">匹配网络</w:t>
      </w:r>
      <w:r>
        <w:rPr>
          <w:rFonts w:hint="eastAsia"/>
        </w:rPr>
        <w:t xml:space="preserve">一端接节点①、另一端接节点②；</w:t>
      </w:r>
      <w:r>
        <w:rPr>
          <w:rFonts w:hint="eastAsia"/>
          <w:b/>
          <w:bCs/>
        </w:rPr>
        <w:t xml:space="preserve">巴伦</w:t>
      </w:r>
      <w:r>
        <w:rPr>
          <w:rFonts w:hint="eastAsia"/>
        </w:rPr>
        <w:t xml:space="preserve">的单端脚接节点②、两个差分脚接节点③，且差分走线保持对称；</w:t>
      </w:r>
      <w:r>
        <w:rPr>
          <w:b/>
          <w:bCs/>
        </w:rPr>
        <w:t xml:space="preserve">U1</w:t>
      </w:r>
      <w:r>
        <w:t xml:space="preserve"> </w:t>
      </w:r>
      <w:r>
        <w:rPr>
          <w:rFonts w:hint="eastAsia"/>
        </w:rPr>
        <w:t xml:space="preserve">的差分射频脚（RF+/RF−）接节点③，晶振脚（XTAL）接节点④，电源脚（VDD、AVDD）接节点⑤、地脚</w:t>
      </w:r>
      <w:r>
        <w:t xml:space="preserve"> GND </w:t>
      </w:r>
      <w:r>
        <w:rPr>
          <w:rFonts w:hint="eastAsia"/>
        </w:rPr>
        <w:t xml:space="preserve">接节点⑥；</w:t>
      </w:r>
      <w:r>
        <w:rPr>
          <w:b/>
          <w:bCs/>
        </w:rPr>
        <w:t xml:space="preserve">Y1</w:t>
      </w:r>
      <w:r>
        <w:t xml:space="preserve"> </w:t>
      </w:r>
      <w:r>
        <w:rPr>
          <w:rFonts w:hint="eastAsia"/>
        </w:rPr>
        <w:t xml:space="preserve">两端分别接节点④与负载电容（或地）；</w:t>
      </w:r>
      <w:r>
        <w:rPr>
          <w:rFonts w:hint="eastAsia"/>
          <w:b/>
          <w:bCs/>
        </w:rPr>
        <w:t xml:space="preserve">去耦电容</w:t>
      </w:r>
      <w:r>
        <w:rPr>
          <w:rFonts w:hint="eastAsia"/>
        </w:rPr>
        <w:t xml:space="preserve">跨接在节点⑤与⑥之间。</w:t>
      </w:r>
    </w:p>
    <w:p>
      <w:pPr/>
      <w:r>
        <w:rPr>
          <w:rFonts w:hint="eastAsia"/>
        </w:rPr>
        <w:t xml:space="preserve">由此构成”数据经</w:t>
      </w:r>
      <w:r>
        <w:t xml:space="preserve"> SoC </w:t>
      </w:r>
      <w:r>
        <w:rPr>
          <w:rFonts w:hint="eastAsia"/>
        </w:rPr>
        <w:t xml:space="preserve">内</w:t>
      </w:r>
      <w:r>
        <w:t xml:space="preserve"> DSSS/O-QPSK </w:t>
      </w:r>
      <w:r>
        <w:rPr>
          <w:rFonts w:hint="eastAsia"/>
        </w:rPr>
        <w:t xml:space="preserve">调制、经巴伦与匹配网络辐射</w:t>
      </w:r>
      <w:r>
        <w:t xml:space="preserve"> 2.4 GHz </w:t>
      </w:r>
      <w:r>
        <w:rPr>
          <w:rFonts w:hint="eastAsia"/>
        </w:rPr>
        <w:t xml:space="preserve">信号，接收时反向解调”的</w:t>
      </w:r>
      <w:r>
        <w:t xml:space="preserve"> IEEE 802.15.4 </w:t>
      </w:r>
      <w:r>
        <w:rPr>
          <w:rFonts w:hint="eastAsia"/>
        </w:rPr>
        <w:t xml:space="preserve">低功耗自组织网状网络收发组态。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节点采用直接序列扩频（DSSS）与</w:t>
      </w:r>
      <w:r>
        <w:t xml:space="preserve"> O-QPSK </w:t>
      </w:r>
      <w:r>
        <w:rPr>
          <w:rFonts w:hint="eastAsia"/>
        </w:rPr>
        <w:t xml:space="preserve">调制，按</w:t>
      </w:r>
      <w:r>
        <w:t xml:space="preserve"> IEEE 802.15.4 </w:t>
      </w:r>
      <w:r>
        <w:rPr>
          <w:rFonts w:hint="eastAsia"/>
        </w:rPr>
        <w:t xml:space="preserve">规范以固定成帧格式收发短数据包。网络层通过协调器组建</w:t>
      </w:r>
      <w:r>
        <w:t xml:space="preserve"> </w:t>
      </w:r>
      <w:r>
        <w:rPr>
          <w:rFonts w:hint="eastAsia"/>
        </w:rPr>
        <w:t xml:space="preserve">PAN，节点以网状（mesh）拓扑多跳转发数据，非活动期进入休眠省电。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数据率与符号率关系（4</w:t>
      </w:r>
      <w:r>
        <w:t xml:space="preserve"> </w:t>
      </w:r>
      <w:r>
        <w:rPr>
          <w:rFonts w:hint="eastAsia"/>
        </w:rPr>
        <w:t xml:space="preserve">bit/符号）：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y</m:t>
              </m:r>
              <m:r>
                <m:t>m</m:t>
              </m:r>
            </m:sub>
          </m:sSub>
          <m:r>
            <m:rPr>
              <m:sty m:val="p"/>
            </m:rPr>
            <m:t>×</m:t>
          </m:r>
          <m:r>
            <m:t>4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接收灵敏度：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174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t>F</m:t>
          </m:r>
          <m:r>
            <m:rPr>
              <m:sty m:val="p"/>
            </m:rPr>
            <m:t>+</m:t>
          </m:r>
          <m:r>
            <m:t>S</m:t>
          </m:r>
          <m:r>
            <m:t>N</m:t>
          </m:r>
          <m:sSub>
            <m:e>
              <m:r>
                <m:t>R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自由空间路径损耗：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P</m:t>
          </m:r>
          <m:r>
            <m:t>L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k</m:t>
              </m:r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M</m:t>
              </m:r>
              <m:r>
                <m:t>H</m:t>
              </m:r>
              <m:r>
                <m:t>z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32.44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平均功耗：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t>v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x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t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  <m:r>
                    <m:t>x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l</m:t>
                  </m:r>
                  <m:r>
                    <m:t>e</m:t>
                  </m:r>
                  <m:r>
                    <m:t>e</m:t>
                  </m:r>
                  <m:r>
                    <m:t>p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l</m:t>
                  </m:r>
                  <m:r>
                    <m:t>e</m:t>
                  </m:r>
                  <m:r>
                    <m:t>e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t</m:t>
                  </m:r>
                  <m:r>
                    <m:t>o</m:t>
                  </m:r>
                  <m:r>
                    <m:t>t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数据率</w:t>
            </w:r>
          </w:p>
        </w:tc>
        <w:tc>
          <w:tcPr/>
          <w:p>
            <w:pPr>
              <w:pStyle w:val="Compact"/>
            </w:pPr>
            <w: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y</m:t>
                  </m:r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符号率</w:t>
            </w:r>
          </w:p>
        </w:tc>
        <w:tc>
          <w:tcPr/>
          <w:p>
            <w:pPr>
              <w:pStyle w:val="Compact"/>
            </w:pPr>
            <w:r>
              <w:t xml:space="preserve">symbol/s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接收灵敏度</w:t>
            </w:r>
          </w:p>
        </w:tc>
        <w:tc>
          <w:tcPr/>
          <w:p>
            <w:pPr>
              <w:pStyle w:val="Compact"/>
            </w:pPr>
            <w:r>
              <w:t xml:space="preserve">dBm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路径损耗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a</m:t>
                  </m:r>
                  <m:r>
                    <m:t>v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平均功耗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发射功率增大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单跳距离增大，但功耗上升、网络干扰增加。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休眠占空比增大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功耗降低，但成为路由节点时的转发响应变慢。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晶振频偏增大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符号定时误差增大，误包率上升。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天线匹配失配</w:t>
      </w:r>
      <w:r>
        <w:t xml:space="preserve"> </w:t>
      </w:r>
      <w:r>
        <w:t xml:space="preserve">→ </w:t>
      </w:r>
      <w:r>
        <w:rPr>
          <w:rFonts w:hint="eastAsia"/>
        </w:rPr>
        <w:t xml:space="preserve">灵敏度与发射效率下降，网络路由不稳定。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巴伦（Balun）与差分走线失配</w:t>
      </w:r>
      <w:r>
        <w:t xml:space="preserve"> </w:t>
      </w:r>
      <w:r>
        <w:t xml:space="preserve">→ </w:t>
      </w:r>
      <w:r>
        <w:rPr>
          <w:rFonts w:hint="eastAsia"/>
        </w:rPr>
        <w:t xml:space="preserve">共模抑制变差，辐射性能下降。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2.4</m:t>
        </m:r>
        <m:r>
          <m:t> </m:t>
        </m:r>
        <m:r>
          <m:rPr>
            <m:nor/>
            <m:sty m:val="p"/>
          </m:rPr>
          <m:t>GHz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2400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/>
        </w:rPr>
        <w:t xml:space="preserve">）、</w:t>
      </w:r>
      <m:oMath>
        <m:r>
          <m:t>d</m:t>
        </m:r>
        <m:r>
          <m:rPr>
            <m:sty m:val="p"/>
          </m:rPr>
          <m:t>=</m:t>
        </m:r>
        <m:r>
          <m:t>30</m:t>
        </m:r>
        <m:r>
          <m:t> </m:t>
        </m:r>
        <m:r>
          <m:rPr>
            <m:nor/>
            <m:sty m:val="p"/>
          </m:rPr>
          <m:t>m</m:t>
        </m:r>
      </m:oMath>
      <w:r>
        <w:rPr>
          <w:rFonts w:hint="eastAsia"/>
        </w:rPr>
        <w:t xml:space="preserve">（即</w:t>
      </w:r>
      <w:r>
        <w:t xml:space="preserve"> </w:t>
      </w:r>
      <m:oMath>
        <m:r>
          <m:t>0.03</m:t>
        </m:r>
        <m:r>
          <m:t> </m:t>
        </m:r>
        <m:r>
          <m:rPr>
            <m:nor/>
            <m:sty m:val="p"/>
          </m:rPr>
          <m:t>km</m:t>
        </m:r>
      </m:oMath>
      <w:r>
        <w:rPr>
          <w:rFonts w:hint="eastAsia"/>
        </w:rPr>
        <w:t xml:space="preserve">）：</w:t>
      </w:r>
      <m:oMath>
        <m:r>
          <m:t>P</m:t>
        </m:r>
        <m:r>
          <m:t>L</m:t>
        </m:r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2400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32.44</m:t>
        </m:r>
        <m:r>
          <m:rPr>
            <m:sty m:val="p"/>
          </m:rPr>
          <m:t>≈</m:t>
        </m:r>
        <m:r>
          <m:t>69.6</m:t>
        </m:r>
        <m:r>
          <m:t> </m:t>
        </m:r>
        <m:r>
          <m:rPr>
            <m:nor/>
            <m:sty m:val="p"/>
          </m:rPr>
          <m:t>dB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y</m:t>
            </m:r>
            <m:r>
              <m:t>m</m:t>
            </m:r>
          </m:sub>
        </m:sSub>
        <m:r>
          <m:rPr>
            <m:sty m:val="p"/>
          </m:rPr>
          <m:t>=</m:t>
        </m:r>
        <m:r>
          <m:t>62.5</m:t>
        </m:r>
        <m:r>
          <m:t> </m:t>
        </m:r>
        <m:r>
          <m:rPr>
            <m:nor/>
            <m:sty m:val="p"/>
          </m:rPr>
          <m:t>kSymbol/s</m:t>
        </m:r>
      </m:oMath>
      <w:r>
        <w:rPr>
          <w:rFonts w:hint="eastAsia"/>
        </w:rPr>
        <w:t xml:space="preserve">：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62.5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250</m:t>
        </m:r>
        <m:r>
          <m:t> </m:t>
        </m:r>
        <m:r>
          <m:rPr>
            <m:nor/>
            <m:sty m:val="p"/>
          </m:rPr>
          <m:t>kbit/s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芯片/模组：CC2530、CC2538、CC2652R、EFR32MG21。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天线：2.4</w:t>
      </w:r>
      <w:r>
        <w:t xml:space="preserve"> GHz PCB </w:t>
      </w:r>
      <w:r>
        <w:rPr>
          <w:rFonts w:hint="eastAsia"/>
        </w:rPr>
        <w:t xml:space="preserve">天线、倒</w:t>
      </w:r>
      <w:r>
        <w:t xml:space="preserve"> F </w:t>
      </w:r>
      <w:r>
        <w:rPr>
          <w:rFonts w:hint="eastAsia"/>
        </w:rPr>
        <w:t xml:space="preserve">天线（IFA）。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2.4 GHz </w:t>
      </w:r>
      <w:r>
        <w:rPr>
          <w:rFonts w:hint="eastAsia"/>
        </w:rPr>
        <w:t xml:space="preserve">频段与</w:t>
      </w:r>
      <w:r>
        <w:t xml:space="preserve"> </w:t>
      </w:r>
      <w:r>
        <w:rPr>
          <w:rFonts w:hint="eastAsia"/>
        </w:rPr>
        <w:t xml:space="preserve">WiFi、蓝牙共用，需做信道规划与干扰规避。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网状网络的节点深度与路由数量影响时延，需控制单</w:t>
      </w:r>
      <w:r>
        <w:t xml:space="preserve"> PAN </w:t>
      </w:r>
      <w:r>
        <w:rPr>
          <w:rFonts w:hint="eastAsia"/>
        </w:rPr>
        <w:t xml:space="preserve">规模。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天线净空区需参考芯片参考布局，金属外壳会显著衰减信号。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电池供电设备需精确控制休眠唤醒时序以降低平均功耗。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Zigbee。</w:t>
      </w:r>
    </w:p>
    <w:p>
      <w:pPr>
        <w:pStyle w:val="Compact"/>
        <w:numPr>
          <w:ilvl w:val="0"/>
          <w:numId w:val="1006"/>
        </w:numPr>
      </w:pPr>
      <w:r>
        <w:t xml:space="preserve">TI CC2530 </w:t>
      </w:r>
      <w:r>
        <w:rPr>
          <w:rFonts w:hint="eastAsia"/>
        </w:rPr>
        <w:t xml:space="preserve">数据手册与参考设计。</w:t>
      </w:r>
    </w:p>
    <w:p>
      <w:pPr>
        <w:pStyle w:val="Compact"/>
        <w:numPr>
          <w:ilvl w:val="0"/>
          <w:numId w:val="1006"/>
        </w:numPr>
      </w:pPr>
      <w:r>
        <w:t xml:space="preserve">IEEE 802.15.4 </w:t>
      </w:r>
      <w:r>
        <w:rPr>
          <w:rFonts w:hint="eastAsia"/>
        </w:rPr>
        <w:t xml:space="preserve">标准。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ZigBee收发电路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ZigBee收发电路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