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浪涌吸收电路"/>
    <w:p>
      <w:pPr>
        <w:pStyle w:val="Heading1"/>
      </w:pPr>
      <w:r>
        <w:rPr>
          <w:rFonts w:hint="eastAsia"/>
        </w:rPr>
        <w:t xml:space="preserve">浪涌吸收电路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浪涌保护器件（气体放电管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GDT、压敏电阻</w:t>
      </w:r>
      <w:r>
        <w:rPr>
          <w:b/>
          <w:bCs/>
        </w:rPr>
        <w:t xml:space="preserve"> MOV、TVS </w:t>
      </w:r>
      <w:r>
        <w:rPr>
          <w:rFonts w:hint="eastAsia"/>
          <w:b/>
          <w:bCs/>
        </w:rPr>
        <w:t xml:space="preserve">或复合型，可按多级配置）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限流/退耦网络（电感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  <w:b/>
          <w:bCs/>
        </w:rPr>
        <w:t xml:space="preserve">、电阻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组成，并联在电源输入端。电路共有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电源输入节点</w:t>
      </w:r>
      <w:r>
        <w:rPr>
          <w:rFonts w:hint="eastAsia"/>
        </w:rPr>
        <w:t xml:space="preserve">（接电源输入端，连第一级保护器件与退耦元件一端）；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退耦后线路节点</w:t>
      </w:r>
      <w:r>
        <w:rPr>
          <w:rFonts w:hint="eastAsia"/>
        </w:rPr>
        <w:t xml:space="preserve">（退耦元件另一端，接次级保护器件与后级电源输入）；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（各级保护器件公共接地端）。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第一级</w:t>
      </w:r>
      <w:r>
        <w:rPr>
          <w:b/>
          <w:bCs/>
        </w:rPr>
        <w:t xml:space="preserve"> GDT/MOV</w:t>
      </w:r>
      <w:r>
        <w:t xml:space="preserve"> </w:t>
      </w:r>
      <w:r>
        <w:rPr>
          <w:rFonts w:hint="eastAsia"/>
        </w:rPr>
        <w:t xml:space="preserve">一端接节点①、另一端接节点③；</w:t>
      </w:r>
      <w:r>
        <w:rPr>
          <w:rFonts w:hint="eastAsia"/>
          <w:b/>
          <w:bCs/>
        </w:rPr>
        <w:t xml:space="preserve">退耦电感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一端接节点①、另一端接节点②（以电阻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退耦时同法接入）；</w:t>
      </w:r>
      <w:r>
        <w:rPr>
          <w:rFonts w:hint="eastAsia"/>
          <w:b/>
          <w:bCs/>
        </w:rPr>
        <w:t xml:space="preserve">次级</w:t>
      </w:r>
      <w:r>
        <w:rPr>
          <w:b/>
          <w:bCs/>
        </w:rPr>
        <w:t xml:space="preserve"> MOV/TVS</w:t>
      </w:r>
      <w:r>
        <w:t xml:space="preserve"> </w:t>
      </w:r>
      <w:r>
        <w:rPr>
          <w:rFonts w:hint="eastAsia"/>
        </w:rPr>
        <w:t xml:space="preserve">一端接节点②、另一端接节点③。</w:t>
      </w:r>
    </w:p>
    <w:p>
      <w:pPr/>
      <w:r>
        <w:rPr>
          <w:rFonts w:hint="eastAsia"/>
        </w:rPr>
        <w:t xml:space="preserve">由此构成”输入经退耦元件到线路节点、各级保护器件分别并联于输入/线路与地之间”的多级分级泄放浪涌吸收组态，保护器件按阈值逐级动作，把雷击、开关操作产生的瞬态过电压浪涌能量泄放入地，把端电压钳位在残压以内，保护后级电源与设备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正常电压下保护器件呈高阻不动作；当浪涌（如</w:t>
      </w:r>
      <w:r>
        <w:t xml:space="preserve"> 1.2/50 µs </w:t>
      </w:r>
      <w:r>
        <w:rPr>
          <w:rFonts w:hint="eastAsia"/>
        </w:rPr>
        <w:t xml:space="preserve">电压波、8/20</w:t>
      </w:r>
      <w:r>
        <w:t xml:space="preserve"> µs </w:t>
      </w:r>
      <w:r>
        <w:rPr>
          <w:rFonts w:hint="eastAsia"/>
        </w:rPr>
        <w:t xml:space="preserve">电流波）到来，器件迅速导通把浪涌电流旁路到地，端电压被钳位在残压（限制电压）以内，能量以热量形式在器件中耗散。多级配合（GDT</w:t>
      </w:r>
      <w:r>
        <w:t xml:space="preserve"> + MOV + </w:t>
      </w:r>
      <w:r>
        <w:rPr>
          <w:rFonts w:hint="eastAsia"/>
        </w:rPr>
        <w:t xml:space="preserve">TVS）实现分级泄放。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压敏电阻残压/限制电压：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I</m:t>
              </m:r>
            </m:e>
            <m:sub>
              <m:r>
                <m:t>s</m:t>
              </m:r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</m:sub>
            <m:sup>
              <m:r>
                <m:t> </m:t>
              </m:r>
              <m:r>
                <m:t>k</m:t>
              </m:r>
            </m:sup>
          </m:sSub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非线性经验式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浪涌能量：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t xml:space="preserve">8/20 </w:t>
      </w:r>
      <w:r>
        <w:rPr>
          <w:rFonts w:hint="eastAsia"/>
        </w:rPr>
        <w:t xml:space="preserve">电流波形峰值与电荷量：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r>
            <m:t>20</m:t>
          </m:r>
          <m:r>
            <m:t> </m:t>
          </m:r>
          <m:r>
            <m:t>μ</m:t>
          </m:r>
          <m:r>
            <m:t>s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器件额定能量裕量：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浪涌峰值电流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浪涌持续时间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电荷量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压敏电压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残压更高、保护性能下降，但漏电小、寿命长。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压敏电压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↓（接近工作电压）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残压低保护好，但漏电流与发热增大、易老化。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器件能量额定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↑（尺寸大）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能承受更大浪涌，但寄生电容增大。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多级配合（GDT+MOV+TVS）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残压更低、寿命更长，但需退耦元件协调。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220 V </w:t>
      </w:r>
      <w:r>
        <w:rPr>
          <w:rFonts w:hint="eastAsia"/>
        </w:rPr>
        <w:t xml:space="preserve">交流电源常用</w:t>
      </w:r>
      <w:r>
        <w:t xml:space="preserve"> 470 </w:t>
      </w:r>
      <w:r>
        <w:rPr>
          <w:rFonts w:hint="eastAsia"/>
        </w:rPr>
        <w:t xml:space="preserve">V（压敏电压约</w:t>
      </w:r>
      <w:r>
        <w:t xml:space="preserve"> 300 Vrms </w:t>
      </w:r>
      <w:r>
        <w:rPr>
          <w:rFonts w:hint="eastAsia"/>
        </w:rPr>
        <w:t xml:space="preserve">对应）的</w:t>
      </w:r>
      <w:r>
        <w:t xml:space="preserve"> </w:t>
      </w:r>
      <w:r>
        <w:rPr>
          <w:rFonts w:hint="eastAsia"/>
        </w:rPr>
        <w:t xml:space="preserve">MOV，标准浪涌下限制电压约</w:t>
      </w:r>
      <w:r>
        <w:t xml:space="preserve"> 775 V。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kA、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t>μ</m:t>
        </m:r>
        <m:r>
          <m:t>s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rPr>
          <w:rFonts w:hint="eastAsia"/>
        </w:rPr>
        <w:t xml:space="preserve">V：</w:t>
      </w:r>
      <m:oMath>
        <m:r>
          <m:t>E</m:t>
        </m:r>
        <m:r>
          <m:rPr>
            <m:sty m:val="p"/>
          </m:rPr>
          <m:t>≈</m:t>
        </m:r>
        <m:r>
          <m:t>700</m:t>
        </m:r>
        <m:r>
          <m:rPr>
            <m:sty m:val="p"/>
          </m:rPr>
          <m:t>×</m:t>
        </m:r>
        <m:r>
          <m:t>3000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42</m:t>
        </m:r>
      </m:oMath>
      <w:r>
        <w:t xml:space="preserve"> </w:t>
      </w:r>
      <w:r>
        <w:t xml:space="preserve">J。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MOV：14D471K、20D471K、S14K300。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GDT：B88069X（EPCOS）、90</w:t>
      </w:r>
      <w:r>
        <w:t xml:space="preserve"> V~600 V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复合浪涌模块：Littelfuse</w:t>
      </w:r>
      <w:r>
        <w:t xml:space="preserve"> / Bourns </w:t>
      </w:r>
      <w:r>
        <w:rPr>
          <w:rFonts w:hint="eastAsia"/>
        </w:rPr>
        <w:t xml:space="preserve">三合一保护器。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压敏电阻有寿命衰减，反复浪涌后需定期检查或更换。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必须考虑浪涌等级（IEC</w:t>
      </w:r>
      <w:r>
        <w:t xml:space="preserve"> </w:t>
      </w:r>
      <w:r>
        <w:rPr>
          <w:rFonts w:hint="eastAsia"/>
        </w:rPr>
        <w:t xml:space="preserve">61000-4-5）与额定能量匹配。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多级防护间加退耦电感/电阻，保证各级协同动作。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器件需加安全泄放与接地，安规隔离距离要满足。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Varistor / Surge protector。</w:t>
      </w:r>
    </w:p>
    <w:p>
      <w:pPr>
        <w:pStyle w:val="Compact"/>
        <w:numPr>
          <w:ilvl w:val="0"/>
          <w:numId w:val="1006"/>
        </w:numPr>
      </w:pPr>
      <w:r>
        <w:t xml:space="preserve">IEC 61000-4-5 </w:t>
      </w:r>
      <w:r>
        <w:rPr>
          <w:rFonts w:hint="eastAsia"/>
        </w:rPr>
        <w:t xml:space="preserve">浪涌抗扰度标准。</w:t>
      </w:r>
    </w:p>
    <w:p>
      <w:pPr>
        <w:pStyle w:val="Compact"/>
        <w:numPr>
          <w:ilvl w:val="0"/>
          <w:numId w:val="1006"/>
        </w:numPr>
      </w:pPr>
      <w:r>
        <w:t xml:space="preserve">Littelfuse MOV </w:t>
      </w:r>
      <w:r>
        <w:rPr>
          <w:rFonts w:hint="eastAsia"/>
        </w:rPr>
        <w:t xml:space="preserve">选型应用说明。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浪涌吸收电路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浪涌吸收电路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