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A2" w:rsidRPr="00522FA2" w:rsidRDefault="00522FA2" w:rsidP="00522FA2">
      <w:pPr>
        <w:pStyle w:val="Zwykytekst"/>
        <w:rPr>
          <w:sz w:val="24"/>
        </w:rPr>
      </w:pPr>
      <w:r w:rsidRPr="00522FA2">
        <w:rPr>
          <w:sz w:val="24"/>
          <w:u w:val="single"/>
        </w:rPr>
        <w:t>Temat:</w:t>
      </w:r>
      <w:r>
        <w:rPr>
          <w:sz w:val="24"/>
        </w:rPr>
        <w:t xml:space="preserve"> </w:t>
      </w:r>
      <w:r w:rsidRPr="00522FA2">
        <w:rPr>
          <w:b/>
          <w:sz w:val="24"/>
        </w:rPr>
        <w:t>Rola funkcji aktywacji w modelu neuronu oraz typy najczęściej stosowanych funkcji aktywacji</w:t>
      </w:r>
    </w:p>
    <w:p w:rsidR="00522FA2" w:rsidRDefault="00522FA2" w:rsidP="00522FA2">
      <w:pPr>
        <w:pStyle w:val="Zwykytekst"/>
      </w:pPr>
    </w:p>
    <w:p w:rsidR="00522FA2" w:rsidRDefault="00522FA2" w:rsidP="00522FA2">
      <w:pPr>
        <w:pStyle w:val="Zwykytekst"/>
      </w:pPr>
    </w:p>
    <w:p w:rsidR="00522FA2" w:rsidRDefault="00522FA2" w:rsidP="003B150F">
      <w:pPr>
        <w:pStyle w:val="Zwykytekst"/>
        <w:ind w:firstLine="708"/>
        <w:jc w:val="both"/>
      </w:pPr>
      <w:r>
        <w:t xml:space="preserve">Sieci neuronowe, będące fundamentalnym elementem współczesnej sztucznej inteligencji i uczenia maszynowego, zawdzięczają swoją potęgę zdolności modelowania </w:t>
      </w:r>
      <w:r>
        <w:t xml:space="preserve">nawet </w:t>
      </w:r>
      <w:r>
        <w:t>skomplikowanych, nieliniowych zależności. Kluczową rolę w tym procesie odgrywają funkcje aktywacji.</w:t>
      </w:r>
    </w:p>
    <w:p w:rsidR="00522FA2" w:rsidRDefault="00522FA2" w:rsidP="003B150F">
      <w:pPr>
        <w:pStyle w:val="Zwykytekst"/>
        <w:ind w:firstLine="708"/>
        <w:jc w:val="both"/>
      </w:pPr>
      <w:r>
        <w:t>W kontekście modelu neuronowego, funkcje aktywacji są integralną częścią architektury sieci. Każdy neuron przyjmuje wiele sygnałów wejściowych, które są ważone przez odpowiadające im wagi. Suma iloczynów tych sygnałów i wag przepływa przez funkcję aktywacji, której zadaniem jest decyzja, czy i w jakim stopniu neuron powinien aktywować się i przekazywać informacje dalej do kolejnej warstwy sieci.</w:t>
      </w:r>
    </w:p>
    <w:p w:rsidR="00522FA2" w:rsidRDefault="00522FA2" w:rsidP="003B150F">
      <w:pPr>
        <w:pStyle w:val="Zwykytekst"/>
        <w:ind w:firstLine="708"/>
        <w:jc w:val="both"/>
      </w:pPr>
      <w:r>
        <w:t>Funkcje aktywacji wprowadzają do modelu niezbędne nieliniowości. Bez nich, mimo wielu warstw ukrytych, cały model byłby wciąż jedynie liniowym transformatorów wejść, co ograniczałoby zdolność sieci do efektywnego uczenia się złożonych wzorców danych. Dzięki zastosowaniu funkcji aktywacji, sieć neuronowa zyskuje zdolność do modelowania skomplikowanych, nieliniowych zależności między danymi.</w:t>
      </w:r>
    </w:p>
    <w:p w:rsidR="00522FA2" w:rsidRDefault="00522FA2" w:rsidP="003B150F">
      <w:pPr>
        <w:pStyle w:val="Zwykytekst"/>
        <w:ind w:firstLine="708"/>
        <w:jc w:val="both"/>
      </w:pPr>
      <w:r>
        <w:t>Możemy wyróżnić</w:t>
      </w:r>
      <w:r>
        <w:t xml:space="preserve"> wiele rodzajów funkcji aktywacji, z których każda ma swoje unikalne właściwości i jest najbardziej odpowiednia dla określonych zastosowań. </w:t>
      </w:r>
      <w:r w:rsidR="000B3F38">
        <w:t>Popularne funkcje aktywacji przedstawię krótko poniżej.</w:t>
      </w:r>
      <w:bookmarkStart w:id="0" w:name="_GoBack"/>
      <w:bookmarkEnd w:id="0"/>
    </w:p>
    <w:p w:rsidR="00522FA2" w:rsidRDefault="00522FA2" w:rsidP="003B150F">
      <w:pPr>
        <w:pStyle w:val="Zwykytekst"/>
        <w:ind w:firstLine="708"/>
        <w:jc w:val="both"/>
      </w:pPr>
      <w:r>
        <w:t xml:space="preserve">Funkcja </w:t>
      </w:r>
      <w:proofErr w:type="spellStart"/>
      <w:r>
        <w:t>sigmoidalna</w:t>
      </w:r>
      <w:proofErr w:type="spellEnd"/>
      <w:r>
        <w:t>, będąca jedną z najstarszych funkcji aktywacji, mapuje wejście do zakresu między 0 a 1. Choć jest gładka i różniczkowalna, co jest istotne dla procesu uczenia sieci, ma wady takie jak zanikający gradient, który może spowolnić proces uczenia.</w:t>
      </w:r>
    </w:p>
    <w:p w:rsidR="00522FA2" w:rsidRDefault="00522FA2" w:rsidP="00522FA2">
      <w:pPr>
        <w:pStyle w:val="Zwykytekst"/>
        <w:ind w:firstLine="708"/>
      </w:pPr>
    </w:p>
    <w:p w:rsidR="00522FA2" w:rsidRDefault="00522FA2" w:rsidP="00522FA2">
      <w:pPr>
        <w:pStyle w:val="Zwykytekst"/>
        <w:ind w:firstLine="708"/>
        <w:jc w:val="center"/>
        <w:rPr>
          <w:rFonts w:eastAsiaTheme="minorEastAsia"/>
        </w:rPr>
      </w:pPr>
      <m:oMath>
        <m:r>
          <m:rPr>
            <m:sty m:val="p"/>
          </m:rPr>
          <w:rPr>
            <w:rFonts w:ascii="Cambria Math" w:hAnsi="Cambria Math"/>
          </w:rPr>
          <m:t>σ</m:t>
        </m:r>
        <m:d>
          <m:dPr>
            <m:ctrlPr>
              <w:rPr>
                <w:rFonts w:ascii="Cambria Math" w:hAnsi="Cambria Math"/>
              </w:rPr>
            </m:ctrlPr>
          </m:dPr>
          <m:e>
            <m:r>
              <m:rPr>
                <m:sty m:val="p"/>
              </m:rPr>
              <w:rPr>
                <w:rFonts w:ascii="Cambria Math" w:hAnsi="Cambria Math"/>
              </w:rPr>
              <m:t>x</m:t>
            </m:r>
          </m:e>
        </m:d>
        <m:r>
          <m:rPr>
            <m:sty m:val="p"/>
          </m:rPr>
          <w:rPr>
            <w:rFonts w:ascii="Cambria Math"/>
          </w:rPr>
          <m:t xml:space="preserve">= </m:t>
        </m:r>
        <m:f>
          <m:fPr>
            <m:ctrlPr>
              <w:rPr>
                <w:rFonts w:ascii="Cambria Math"/>
              </w:rPr>
            </m:ctrlPr>
          </m:fPr>
          <m:num>
            <m:r>
              <w:rPr>
                <w:rFonts w:ascii="Cambria Math"/>
              </w:rPr>
              <m:t>1</m:t>
            </m:r>
          </m:num>
          <m:den>
            <m:r>
              <w:rPr>
                <w:rFonts w:ascii="Cambria Math"/>
              </w:rPr>
              <m:t>1+</m:t>
            </m:r>
            <m:sSup>
              <m:sSupPr>
                <m:ctrlPr>
                  <w:rPr>
                    <w:rFonts w:ascii="Cambria Math"/>
                    <w:i/>
                  </w:rPr>
                </m:ctrlPr>
              </m:sSupPr>
              <m:e>
                <m:r>
                  <w:rPr>
                    <w:rFonts w:ascii="Cambria Math"/>
                  </w:rPr>
                  <m:t>e</m:t>
                </m:r>
              </m:e>
              <m:sup>
                <m:r>
                  <w:rPr>
                    <w:rFonts w:ascii="Cambria Math"/>
                  </w:rPr>
                  <m:t>-</m:t>
                </m:r>
                <m:r>
                  <w:rPr>
                    <w:rFonts w:ascii="Cambria Math"/>
                  </w:rPr>
                  <m:t>x</m:t>
                </m:r>
              </m:sup>
            </m:sSup>
          </m:den>
        </m:f>
      </m:oMath>
      <w:r>
        <w:rPr>
          <w:rFonts w:eastAsiaTheme="minorEastAsia"/>
        </w:rPr>
        <w:t>, gdzie</w:t>
      </w:r>
    </w:p>
    <w:p w:rsidR="00522FA2" w:rsidRDefault="00522FA2" w:rsidP="00522FA2">
      <w:pPr>
        <w:pStyle w:val="Zwykytekst"/>
        <w:ind w:firstLine="708"/>
        <w:rPr>
          <w:rFonts w:eastAsiaTheme="minorEastAsia"/>
        </w:rPr>
      </w:pPr>
      <w:r w:rsidRPr="00522FA2">
        <w:rPr>
          <w:rFonts w:eastAsiaTheme="minorEastAsia"/>
        </w:rPr>
        <w:t>σ(x)</w:t>
      </w:r>
      <w:r>
        <w:rPr>
          <w:rFonts w:eastAsiaTheme="minorEastAsia"/>
        </w:rPr>
        <w:t xml:space="preserve"> – wartość funkcji </w:t>
      </w:r>
      <w:proofErr w:type="spellStart"/>
      <w:r>
        <w:rPr>
          <w:rFonts w:eastAsiaTheme="minorEastAsia"/>
        </w:rPr>
        <w:t>sigmoidalnej</w:t>
      </w:r>
      <w:proofErr w:type="spellEnd"/>
      <w:r>
        <w:rPr>
          <w:rFonts w:eastAsiaTheme="minorEastAsia"/>
        </w:rPr>
        <w:t xml:space="preserve"> dla wejścia x</w:t>
      </w:r>
    </w:p>
    <w:p w:rsidR="00522FA2" w:rsidRDefault="00522FA2" w:rsidP="00522FA2">
      <w:pPr>
        <w:pStyle w:val="Zwykytekst"/>
        <w:ind w:firstLine="708"/>
        <w:rPr>
          <w:rFonts w:eastAsiaTheme="minorEastAsia"/>
        </w:rPr>
      </w:pPr>
    </w:p>
    <w:p w:rsidR="00522FA2" w:rsidRDefault="00522FA2" w:rsidP="00522FA2">
      <w:pPr>
        <w:pStyle w:val="Zwykytekst"/>
        <w:ind w:firstLine="708"/>
        <w:jc w:val="center"/>
        <w:rPr>
          <w:rFonts w:eastAsiaTheme="minorEastAsia"/>
        </w:rPr>
      </w:pPr>
      <w:r>
        <w:rPr>
          <w:rFonts w:eastAsiaTheme="minorEastAsia"/>
          <w:noProof/>
          <w:lang w:eastAsia="pl-PL"/>
        </w:rPr>
        <w:drawing>
          <wp:inline distT="0" distB="0" distL="0" distR="0">
            <wp:extent cx="2586251" cy="2035190"/>
            <wp:effectExtent l="0" t="0" r="508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a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5543" cy="2050371"/>
                    </a:xfrm>
                    <a:prstGeom prst="rect">
                      <a:avLst/>
                    </a:prstGeom>
                  </pic:spPr>
                </pic:pic>
              </a:graphicData>
            </a:graphic>
          </wp:inline>
        </w:drawing>
      </w:r>
    </w:p>
    <w:p w:rsidR="00522FA2" w:rsidRDefault="00522FA2" w:rsidP="00522FA2">
      <w:pPr>
        <w:pStyle w:val="Zwykytekst"/>
        <w:ind w:firstLine="708"/>
        <w:rPr>
          <w:rFonts w:eastAsiaTheme="minorEastAsia"/>
        </w:rPr>
      </w:pPr>
    </w:p>
    <w:p w:rsidR="00522FA2" w:rsidRDefault="00522FA2" w:rsidP="007843FF">
      <w:pPr>
        <w:pStyle w:val="Zwykytekst"/>
        <w:ind w:firstLine="708"/>
        <w:jc w:val="both"/>
      </w:pPr>
      <w:r>
        <w:t xml:space="preserve">Funkcja </w:t>
      </w:r>
      <w:proofErr w:type="spellStart"/>
      <w:r>
        <w:t>tangensu</w:t>
      </w:r>
      <w:proofErr w:type="spellEnd"/>
      <w:r>
        <w:t xml:space="preserve"> hiperbolicznego (</w:t>
      </w:r>
      <w:proofErr w:type="spellStart"/>
      <w:r>
        <w:t>tanh</w:t>
      </w:r>
      <w:proofErr w:type="spellEnd"/>
      <w:r>
        <w:t xml:space="preserve">) mapuje wejście do zakresu między -1 a 1. Jest to często lepsze niż zakres od 0 do 1, ponieważ średnia wartość aktywacji w sieci jest bliższa zeru. </w:t>
      </w:r>
    </w:p>
    <w:p w:rsidR="00522FA2" w:rsidRDefault="00522FA2" w:rsidP="007843FF">
      <w:pPr>
        <w:pStyle w:val="Zwykytekst"/>
        <w:ind w:firstLine="708"/>
        <w:jc w:val="both"/>
      </w:pPr>
      <w:r>
        <w:t xml:space="preserve">Funkcja </w:t>
      </w:r>
      <w:proofErr w:type="spellStart"/>
      <w:r>
        <w:t>Rectified</w:t>
      </w:r>
      <w:proofErr w:type="spellEnd"/>
      <w:r>
        <w:t xml:space="preserve"> </w:t>
      </w:r>
      <w:proofErr w:type="spellStart"/>
      <w:r>
        <w:t>Linear</w:t>
      </w:r>
      <w:proofErr w:type="spellEnd"/>
      <w:r>
        <w:t xml:space="preserve"> Unit (</w:t>
      </w:r>
      <w:proofErr w:type="spellStart"/>
      <w:r>
        <w:t>ReLU</w:t>
      </w:r>
      <w:proofErr w:type="spellEnd"/>
      <w:r>
        <w:t xml:space="preserve">) stała się bardzo popularna z powodu swojej prostoty i efektywności. </w:t>
      </w:r>
      <w:proofErr w:type="spellStart"/>
      <w:r>
        <w:t>ReLU</w:t>
      </w:r>
      <w:proofErr w:type="spellEnd"/>
      <w:r>
        <w:t xml:space="preserve"> daje wynik równy zero dla wartości wejściowych mniejszych od zera, a dla wartości dodatnich jest tożsama z wejściem. </w:t>
      </w:r>
      <w:proofErr w:type="spellStart"/>
      <w:r>
        <w:t>ReLU</w:t>
      </w:r>
      <w:proofErr w:type="spellEnd"/>
      <w:r>
        <w:t xml:space="preserve"> radzi sobie lepiej z problemem zanikającego gradientu, ale wprowadza problem "martwych neuronów", które nigdy nie są aktywowane.</w:t>
      </w:r>
    </w:p>
    <w:p w:rsidR="00522FA2" w:rsidRDefault="00522FA2" w:rsidP="00522FA2">
      <w:pPr>
        <w:pStyle w:val="Zwykytekst"/>
        <w:ind w:firstLine="708"/>
        <w:jc w:val="center"/>
      </w:pPr>
    </w:p>
    <w:p w:rsidR="00522FA2" w:rsidRDefault="00522FA2" w:rsidP="00522FA2">
      <w:pPr>
        <w:pStyle w:val="Zwykytekst"/>
        <w:ind w:firstLine="708"/>
        <w:jc w:val="center"/>
      </w:pPr>
      <m:oMath>
        <m:r>
          <m:rPr>
            <m:sty m:val="p"/>
          </m:rPr>
          <w:rPr>
            <w:rFonts w:ascii="Cambria Math" w:hAnsi="Cambria Math"/>
          </w:rPr>
          <m:t>σ</m:t>
        </m:r>
      </m:oMath>
      <w:r>
        <w:t>(x) = max(0, x)</w:t>
      </w:r>
    </w:p>
    <w:p w:rsidR="00522FA2" w:rsidRDefault="00522FA2" w:rsidP="00522FA2">
      <w:pPr>
        <w:pStyle w:val="Zwykytekst"/>
        <w:ind w:firstLine="708"/>
        <w:jc w:val="center"/>
      </w:pPr>
    </w:p>
    <w:p w:rsidR="00522FA2" w:rsidRDefault="00522FA2" w:rsidP="00522FA2">
      <w:pPr>
        <w:pStyle w:val="Zwykytekst"/>
        <w:ind w:firstLine="708"/>
        <w:jc w:val="center"/>
      </w:pPr>
      <w:r>
        <w:rPr>
          <w:noProof/>
          <w:lang w:eastAsia="pl-PL"/>
        </w:rPr>
        <w:lastRenderedPageBreak/>
        <w:drawing>
          <wp:inline distT="0" distB="0" distL="0" distR="0">
            <wp:extent cx="2593075" cy="20434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u.png"/>
                    <pic:cNvPicPr/>
                  </pic:nvPicPr>
                  <pic:blipFill>
                    <a:blip r:embed="rId5">
                      <a:extLst>
                        <a:ext uri="{28A0092B-C50C-407E-A947-70E740481C1C}">
                          <a14:useLocalDpi xmlns:a14="http://schemas.microsoft.com/office/drawing/2010/main" val="0"/>
                        </a:ext>
                      </a:extLst>
                    </a:blip>
                    <a:stretch>
                      <a:fillRect/>
                    </a:stretch>
                  </pic:blipFill>
                  <pic:spPr>
                    <a:xfrm>
                      <a:off x="0" y="0"/>
                      <a:ext cx="2599871" cy="2048812"/>
                    </a:xfrm>
                    <a:prstGeom prst="rect">
                      <a:avLst/>
                    </a:prstGeom>
                  </pic:spPr>
                </pic:pic>
              </a:graphicData>
            </a:graphic>
          </wp:inline>
        </w:drawing>
      </w:r>
    </w:p>
    <w:p w:rsidR="00522FA2" w:rsidRDefault="00522FA2" w:rsidP="00522FA2">
      <w:pPr>
        <w:pStyle w:val="Zwykytekst"/>
        <w:ind w:firstLine="708"/>
        <w:jc w:val="center"/>
      </w:pPr>
    </w:p>
    <w:p w:rsidR="00522FA2" w:rsidRDefault="00522FA2" w:rsidP="00C94DAC">
      <w:pPr>
        <w:pStyle w:val="Zwykytekst"/>
        <w:ind w:firstLine="708"/>
        <w:jc w:val="both"/>
      </w:pPr>
      <w:proofErr w:type="spellStart"/>
      <w:r>
        <w:t>Leaky</w:t>
      </w:r>
      <w:proofErr w:type="spellEnd"/>
      <w:r>
        <w:t xml:space="preserve"> </w:t>
      </w:r>
      <w:proofErr w:type="spellStart"/>
      <w:r>
        <w:t>ReLU</w:t>
      </w:r>
      <w:proofErr w:type="spellEnd"/>
      <w:r>
        <w:t xml:space="preserve"> i </w:t>
      </w:r>
      <w:proofErr w:type="spellStart"/>
      <w:r>
        <w:t>Parametric</w:t>
      </w:r>
      <w:proofErr w:type="spellEnd"/>
      <w:r>
        <w:t xml:space="preserve"> </w:t>
      </w:r>
      <w:proofErr w:type="spellStart"/>
      <w:r>
        <w:t>ReLU</w:t>
      </w:r>
      <w:proofErr w:type="spellEnd"/>
      <w:r>
        <w:t xml:space="preserve"> to modyfikacje funkcji </w:t>
      </w:r>
      <w:proofErr w:type="spellStart"/>
      <w:r>
        <w:t>ReLU</w:t>
      </w:r>
      <w:proofErr w:type="spellEnd"/>
      <w:r>
        <w:t>, które próbują zaradzić problemowi martwych neuronów, wprowadzając mały gradient dla wartości wejściowych mniejszych od zera.</w:t>
      </w:r>
      <w:r>
        <w:t xml:space="preserve"> Przykład dla </w:t>
      </w:r>
      <w:proofErr w:type="spellStart"/>
      <w:r>
        <w:t>Leaky</w:t>
      </w:r>
      <w:proofErr w:type="spellEnd"/>
      <w:r>
        <w:t xml:space="preserve"> </w:t>
      </w:r>
      <w:proofErr w:type="spellStart"/>
      <w:r>
        <w:t>ReLU</w:t>
      </w:r>
      <w:proofErr w:type="spellEnd"/>
      <w:r>
        <w:t>:</w:t>
      </w:r>
    </w:p>
    <w:p w:rsidR="00522FA2" w:rsidRDefault="00522FA2" w:rsidP="00522FA2">
      <w:pPr>
        <w:pStyle w:val="Zwykytekst"/>
        <w:ind w:firstLine="708"/>
        <w:jc w:val="center"/>
      </w:pPr>
      <m:oMath>
        <m:r>
          <m:rPr>
            <m:sty m:val="p"/>
          </m:rPr>
          <w:rPr>
            <w:rFonts w:ascii="Cambria Math" w:hAnsi="Cambria Math"/>
          </w:rPr>
          <m:t>σ</m:t>
        </m:r>
      </m:oMath>
      <w:r>
        <w:t>(x) = max(0.01*x, x)</w:t>
      </w:r>
    </w:p>
    <w:p w:rsidR="00522FA2" w:rsidRDefault="00522FA2" w:rsidP="00522FA2">
      <w:pPr>
        <w:pStyle w:val="Zwykytekst"/>
        <w:ind w:firstLine="708"/>
        <w:jc w:val="center"/>
      </w:pPr>
      <w:r>
        <w:rPr>
          <w:noProof/>
          <w:lang w:eastAsia="pl-PL"/>
        </w:rPr>
        <w:drawing>
          <wp:inline distT="0" distB="0" distL="0" distR="0">
            <wp:extent cx="2518012" cy="198430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kyReLU.png"/>
                    <pic:cNvPicPr/>
                  </pic:nvPicPr>
                  <pic:blipFill>
                    <a:blip r:embed="rId6">
                      <a:extLst>
                        <a:ext uri="{28A0092B-C50C-407E-A947-70E740481C1C}">
                          <a14:useLocalDpi xmlns:a14="http://schemas.microsoft.com/office/drawing/2010/main" val="0"/>
                        </a:ext>
                      </a:extLst>
                    </a:blip>
                    <a:stretch>
                      <a:fillRect/>
                    </a:stretch>
                  </pic:blipFill>
                  <pic:spPr>
                    <a:xfrm>
                      <a:off x="0" y="0"/>
                      <a:ext cx="2538806" cy="2000690"/>
                    </a:xfrm>
                    <a:prstGeom prst="rect">
                      <a:avLst/>
                    </a:prstGeom>
                  </pic:spPr>
                </pic:pic>
              </a:graphicData>
            </a:graphic>
          </wp:inline>
        </w:drawing>
      </w:r>
    </w:p>
    <w:p w:rsidR="00522FA2" w:rsidRDefault="00522FA2" w:rsidP="00522FA2">
      <w:pPr>
        <w:pStyle w:val="Zwykytekst"/>
        <w:ind w:firstLine="708"/>
        <w:jc w:val="center"/>
      </w:pPr>
    </w:p>
    <w:p w:rsidR="00522FA2" w:rsidRDefault="00522FA2" w:rsidP="00D95904">
      <w:pPr>
        <w:pStyle w:val="Zwykytekst"/>
        <w:ind w:firstLine="708"/>
        <w:jc w:val="both"/>
      </w:pPr>
      <w:r>
        <w:t>F</w:t>
      </w:r>
      <w:r>
        <w:t xml:space="preserve">unkcja </w:t>
      </w:r>
      <w:proofErr w:type="spellStart"/>
      <w:r>
        <w:t>Softmax</w:t>
      </w:r>
      <w:proofErr w:type="spellEnd"/>
      <w:r>
        <w:t xml:space="preserve"> jest często używana w ostatniej warstwie sieci neuronowych dla zadań klasyfikacji wieloklasowej. </w:t>
      </w:r>
      <w:proofErr w:type="spellStart"/>
      <w:r>
        <w:t>Softmax</w:t>
      </w:r>
      <w:proofErr w:type="spellEnd"/>
      <w:r>
        <w:t xml:space="preserve"> przekształca wejścia w postaci </w:t>
      </w:r>
      <w:proofErr w:type="spellStart"/>
      <w:r>
        <w:t>logitów</w:t>
      </w:r>
      <w:proofErr w:type="spellEnd"/>
      <w:r>
        <w:t xml:space="preserve"> na prawdopodobieństwa sumujące się do jedności, co umożliwia interpretację wyników jako prawdopodobieństwa przynależności do poszczególnych klas.</w:t>
      </w:r>
    </w:p>
    <w:p w:rsidR="00522FA2" w:rsidRDefault="00522FA2" w:rsidP="00522FA2">
      <w:pPr>
        <w:pStyle w:val="Zwykytekst"/>
        <w:ind w:firstLine="708"/>
        <w:jc w:val="center"/>
        <w:rPr>
          <w:rFonts w:eastAsiaTheme="minorEastAsia"/>
        </w:rPr>
      </w:p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rPr>
          <m:t xml:space="preserve">= </m:t>
        </m:r>
        <m:f>
          <m:fPr>
            <m:ctrlPr>
              <w:rPr>
                <w:rFonts w:ascii="Cambria Math"/>
              </w:rPr>
            </m:ctrlPr>
          </m:fPr>
          <m:num>
            <m:sSup>
              <m:sSupPr>
                <m:ctrlPr>
                  <w:rPr>
                    <w:rFonts w:ascii="Cambria Math"/>
                    <w:i/>
                  </w:rPr>
                </m:ctrlPr>
              </m:sSupPr>
              <m:e>
                <m:r>
                  <w:rPr>
                    <w:rFonts w:ascii="Cambria Math"/>
                  </w:rPr>
                  <m:t>e</m:t>
                </m:r>
              </m:e>
              <m:sup>
                <m:sSub>
                  <m:sSubPr>
                    <m:ctrlPr>
                      <w:rPr>
                        <w:rFonts w:ascii="Cambria Math"/>
                        <w:i/>
                      </w:rPr>
                    </m:ctrlPr>
                  </m:sSubPr>
                  <m:e>
                    <m:r>
                      <w:rPr>
                        <w:rFonts w:ascii="Cambria Math"/>
                      </w:rPr>
                      <m:t>x</m:t>
                    </m:r>
                  </m:e>
                  <m:sub>
                    <m:r>
                      <w:rPr>
                        <w:rFonts w:ascii="Cambria Math"/>
                      </w:rPr>
                      <m:t>j</m:t>
                    </m:r>
                  </m:sub>
                </m:sSub>
              </m:sup>
            </m:sSup>
          </m:num>
          <m:den>
            <m:r>
              <w:rPr>
                <w:rFonts w:ascii="Cambria Math"/>
              </w:rPr>
              <m:t>Ε</m:t>
            </m:r>
            <m:r>
              <w:rPr>
                <w:rFonts w:ascii="Cambria Math"/>
              </w:rPr>
              <m:t>(</m:t>
            </m:r>
            <m:sSup>
              <m:sSupPr>
                <m:ctrlPr>
                  <w:rPr>
                    <w:rFonts w:ascii="Cambria Math"/>
                    <w:i/>
                  </w:rPr>
                </m:ctrlPr>
              </m:sSupPr>
              <m:e>
                <m:r>
                  <w:rPr>
                    <w:rFonts w:ascii="Cambria Math"/>
                  </w:rPr>
                  <m:t>e</m:t>
                </m:r>
              </m:e>
              <m:sup>
                <m:sSub>
                  <m:sSubPr>
                    <m:ctrlPr>
                      <w:rPr>
                        <w:rFonts w:ascii="Cambria Math"/>
                        <w:i/>
                      </w:rPr>
                    </m:ctrlPr>
                  </m:sSubPr>
                  <m:e>
                    <m:r>
                      <w:rPr>
                        <w:rFonts w:ascii="Cambria Math"/>
                      </w:rPr>
                      <m:t>x</m:t>
                    </m:r>
                  </m:e>
                  <m:sub>
                    <m:r>
                      <w:rPr>
                        <w:rFonts w:ascii="Cambria Math"/>
                      </w:rPr>
                      <m:t>j</m:t>
                    </m:r>
                  </m:sub>
                </m:sSub>
              </m:sup>
            </m:sSup>
            <m:r>
              <w:rPr>
                <w:rFonts w:ascii="Cambria Math"/>
              </w:rPr>
              <m:t>)</m:t>
            </m:r>
          </m:den>
        </m:f>
      </m:oMath>
      <w:r>
        <w:rPr>
          <w:rFonts w:eastAsiaTheme="minorEastAsia"/>
        </w:rPr>
        <w:t>, gdzie</w:t>
      </w:r>
      <w:r>
        <w:rPr>
          <w:rFonts w:eastAsiaTheme="minorEastAsia"/>
        </w:rPr>
        <w:t>:</w:t>
      </w:r>
    </w:p>
    <w:p w:rsidR="00522FA2" w:rsidRDefault="00522FA2" w:rsidP="00522FA2">
      <w:pPr>
        <w:pStyle w:val="Zwykytekst"/>
        <w:ind w:firstLine="708"/>
        <w:jc w:val="center"/>
        <w:rPr>
          <w:rFonts w:eastAsiaTheme="minorEastAsia"/>
        </w:rPr>
      </w:pPr>
    </w:p>
    <w:p w:rsidR="00522FA2" w:rsidRDefault="00522FA2" w:rsidP="00522FA2">
      <w:pPr>
        <w:pStyle w:val="Zwykytekst"/>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 </w:t>
      </w:r>
      <w:proofErr w:type="spellStart"/>
      <w:r>
        <w:rPr>
          <w:rFonts w:eastAsiaTheme="minorEastAsia"/>
        </w:rPr>
        <w:t>ity</w:t>
      </w:r>
      <w:proofErr w:type="spellEnd"/>
      <w:r>
        <w:rPr>
          <w:rFonts w:eastAsiaTheme="minorEastAsia"/>
        </w:rPr>
        <w:t xml:space="preserve"> element wejściowego wektora x,</w:t>
      </w:r>
    </w:p>
    <w:p w:rsidR="00522FA2" w:rsidRPr="00522FA2" w:rsidRDefault="00522FA2" w:rsidP="00522FA2">
      <w:pPr>
        <w:pStyle w:val="Zwykytekst"/>
        <w:ind w:firstLine="708"/>
        <w:rPr>
          <w:rFonts w:eastAsiaTheme="minorEastAsia"/>
        </w:rPr>
      </w:pPr>
      <m:oMath>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eastAsiaTheme="minorEastAsia" w:hAnsi="Cambria Math"/>
          </w:rPr>
          <m:t>)</m:t>
        </m:r>
      </m:oMath>
      <w:r>
        <w:rPr>
          <w:rFonts w:eastAsiaTheme="minorEastAsia"/>
        </w:rPr>
        <w:t xml:space="preserve"> – suma wszystkich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oMath>
      <w:r>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oznacza każdy element wektora wejściowego x.</w:t>
      </w:r>
    </w:p>
    <w:p w:rsidR="00522FA2" w:rsidRDefault="00522FA2" w:rsidP="00522FA2">
      <w:pPr>
        <w:pStyle w:val="Zwykytekst"/>
        <w:ind w:firstLine="708"/>
        <w:rPr>
          <w:rFonts w:eastAsiaTheme="minorEastAsia"/>
        </w:rPr>
      </w:pPr>
    </w:p>
    <w:p w:rsidR="00522FA2" w:rsidRDefault="00522FA2" w:rsidP="00522FA2">
      <w:pPr>
        <w:pStyle w:val="Zwykytekst"/>
        <w:ind w:firstLine="708"/>
        <w:jc w:val="center"/>
      </w:pPr>
      <w:r>
        <w:rPr>
          <w:noProof/>
          <w:lang w:eastAsia="pl-PL"/>
        </w:rPr>
        <w:drawing>
          <wp:inline distT="0" distB="0" distL="0" distR="0">
            <wp:extent cx="2361062" cy="1792429"/>
            <wp:effectExtent l="0" t="0" r="127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ma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3545" cy="1801905"/>
                    </a:xfrm>
                    <a:prstGeom prst="rect">
                      <a:avLst/>
                    </a:prstGeom>
                  </pic:spPr>
                </pic:pic>
              </a:graphicData>
            </a:graphic>
          </wp:inline>
        </w:drawing>
      </w:r>
    </w:p>
    <w:p w:rsidR="00522FA2" w:rsidRDefault="00522FA2" w:rsidP="00522FA2">
      <w:pPr>
        <w:pStyle w:val="Zwykytekst"/>
        <w:ind w:firstLine="708"/>
        <w:jc w:val="center"/>
      </w:pPr>
    </w:p>
    <w:p w:rsidR="00522FA2" w:rsidRDefault="00522FA2" w:rsidP="00522FA2">
      <w:pPr>
        <w:pStyle w:val="Zwykytekst"/>
        <w:ind w:firstLine="708"/>
        <w:jc w:val="both"/>
      </w:pPr>
      <w:r>
        <w:lastRenderedPageBreak/>
        <w:t>Podsumowując, funkcje aktywacji pełnią kluczową rolę w sieciach neuronowych, wprowadzając niezbędne nieliniowości do modelu, które pozwalają na efektywne modelowanie złożonych zależności. Bez funkcji aktywacji, sieci neuronowe byłyby jedynie liniowymi transformatorami wejść, co znacznie ograniczałoby ich zdolność do rozwiązywania rzeczywistych, często nieliniowych problemów. Wybór odpowiedniej funkcji aktywacji jest kluczowy dla projektowania efektywnych i wydajnych sieci neuronowych.</w:t>
      </w:r>
    </w:p>
    <w:p w:rsidR="00C645B7" w:rsidRDefault="000B3F38"/>
    <w:p w:rsidR="007F00B8" w:rsidRDefault="007F00B8"/>
    <w:p w:rsidR="007F00B8" w:rsidRDefault="007F00B8"/>
    <w:p w:rsidR="007F00B8" w:rsidRDefault="007F00B8" w:rsidP="007F00B8">
      <w:pPr>
        <w:jc w:val="right"/>
      </w:pPr>
      <w:r>
        <w:t>Opracował:</w:t>
      </w:r>
    </w:p>
    <w:p w:rsidR="007F00B8" w:rsidRDefault="007F00B8" w:rsidP="007F00B8">
      <w:pPr>
        <w:jc w:val="right"/>
      </w:pPr>
      <w:r>
        <w:t>Dawid Walicki</w:t>
      </w:r>
    </w:p>
    <w:sectPr w:rsidR="007F0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09"/>
    <w:rsid w:val="000B3F38"/>
    <w:rsid w:val="003B150F"/>
    <w:rsid w:val="00522FA2"/>
    <w:rsid w:val="005E5A09"/>
    <w:rsid w:val="006A6C5A"/>
    <w:rsid w:val="00730AB6"/>
    <w:rsid w:val="007843FF"/>
    <w:rsid w:val="007F00B8"/>
    <w:rsid w:val="008E37CF"/>
    <w:rsid w:val="00C94DAC"/>
    <w:rsid w:val="00D959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F346"/>
  <w15:chartTrackingRefBased/>
  <w15:docId w15:val="{238240CD-5EED-4253-A326-2D1DCAD1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uiPriority w:val="99"/>
    <w:semiHidden/>
    <w:unhideWhenUsed/>
    <w:rsid w:val="00522FA2"/>
    <w:pPr>
      <w:spacing w:after="0" w:line="240" w:lineRule="auto"/>
    </w:pPr>
    <w:rPr>
      <w:rFonts w:ascii="Calibri" w:hAnsi="Calibri"/>
      <w:szCs w:val="21"/>
    </w:rPr>
  </w:style>
  <w:style w:type="character" w:customStyle="1" w:styleId="ZwykytekstZnak">
    <w:name w:val="Zwykły tekst Znak"/>
    <w:basedOn w:val="Domylnaczcionkaakapitu"/>
    <w:link w:val="Zwykytekst"/>
    <w:uiPriority w:val="99"/>
    <w:semiHidden/>
    <w:rsid w:val="00522FA2"/>
    <w:rPr>
      <w:rFonts w:ascii="Calibri" w:hAnsi="Calibri"/>
      <w:szCs w:val="21"/>
    </w:rPr>
  </w:style>
  <w:style w:type="character" w:styleId="Tekstzastpczy">
    <w:name w:val="Placeholder Text"/>
    <w:basedOn w:val="Domylnaczcionkaakapitu"/>
    <w:uiPriority w:val="99"/>
    <w:semiHidden/>
    <w:rsid w:val="00522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4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507</Words>
  <Characters>3042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PKN ORLEN S.A.</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Walicki Dawid (PKN)</dc:creator>
  <cp:keywords/>
  <dc:description/>
  <cp:lastModifiedBy>Walicki Dawid (PKN)</cp:lastModifiedBy>
  <cp:revision>9</cp:revision>
  <dcterms:created xsi:type="dcterms:W3CDTF">2023-05-30T06:59:00Z</dcterms:created>
  <dcterms:modified xsi:type="dcterms:W3CDTF">2023-05-30T11:56:00Z</dcterms:modified>
</cp:coreProperties>
</file>