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52446"/>
          <w:sz w:val="80"/>
        </w:rPr>
        <w:t>VINSS</w:t>
      </w:r>
    </w:p>
    <w:p>
      <w:pPr>
        <w:jc w:val="center"/>
      </w:pPr>
      <w:r>
        <w:rPr>
          <w:b/>
          <w:color w:val="315BEA"/>
          <w:sz w:val="42"/>
        </w:rPr>
        <w:t>Dokumentasi Produk Publik</w:t>
      </w:r>
    </w:p>
    <w:p>
      <w:pPr>
        <w:jc w:val="center"/>
      </w:pPr>
      <w:r>
        <w:rPr>
          <w:color w:val="5D6678"/>
          <w:sz w:val="23"/>
        </w:rPr>
        <w:t>Masalah nyata, bukti publik, solusi, cara kerja, status pengembangan, model bisnis, dan batas privasi</w:t>
      </w:r>
    </w:p>
    <w:p/>
    <w:tbl>
      <w:tblPr>
        <w:tblW w:type="auto" w:w="0"/>
        <w:jc w:val="center"/>
        <w:tblLook w:firstColumn="1" w:firstRow="1" w:lastColumn="0" w:lastRow="0" w:noHBand="0" w:noVBand="1" w:val="04A0"/>
      </w:tblPr>
      <w:tblGrid>
        <w:gridCol w:w="10080"/>
      </w:tblGrid>
      <w:tr>
        <w:tc>
          <w:tcPr>
            <w:tcW w:type="dxa" w:w="10080"/>
            <w:shd w:fill="EAF0FF"/>
            <w:tcMar>
              <w:top w:w="150" w:type="dxa"/>
              <w:start w:w="240" w:type="dxa"/>
              <w:bottom w:w="150" w:type="dxa"/>
              <w:end w:w="240" w:type="dxa"/>
            </w:tcMar>
          </w:tcPr>
          <w:p>
            <w:pPr>
              <w:jc w:val="center"/>
            </w:pPr>
            <w:r>
              <w:rPr>
                <w:b/>
                <w:color w:val="152446"/>
              </w:rPr>
              <w:t>DRAF PUBLIK • SETIAP MASALAH UTAMA DIDUKUNG SUMBER PUBLIK</w:t>
            </w:r>
          </w:p>
        </w:tc>
      </w:tr>
    </w:tbl>
    <w:p/>
    <w:p>
      <w:pPr>
        <w:jc w:val="center"/>
      </w:pPr>
      <w:r>
        <w:rPr>
          <w:b/>
          <w:color w:val="152446"/>
          <w:sz w:val="26"/>
        </w:rPr>
        <w:t>Private Deal Room di Starknet</w:t>
      </w:r>
    </w:p>
    <w:p>
      <w:pPr>
        <w:jc w:val="center"/>
      </w:pPr>
      <w:r>
        <w:rPr>
          <w:color w:val="5D6678"/>
          <w:sz w:val="19"/>
        </w:rPr>
        <w:t>Versi 0.1 • 18 Juli 2026</w:t>
      </w:r>
    </w:p>
    <w:p>
      <w:r>
        <w:br w:type="page"/>
      </w:r>
    </w:p>
    <w:p>
      <w:pPr>
        <w:pStyle w:val="Heading1"/>
      </w:pPr>
      <w:r>
        <w:t>1. Apa Itu VINSS?</w:t>
      </w:r>
    </w:p>
    <w:tbl>
      <w:tblPr>
        <w:tblW w:type="auto" w:w="0"/>
        <w:jc w:val="center"/>
        <w:tblLook w:firstColumn="1" w:firstRow="1" w:lastColumn="0" w:lastRow="0" w:noHBand="0" w:noVBand="1" w:val="04A0"/>
      </w:tblPr>
      <w:tblGrid>
        <w:gridCol w:w="10080"/>
      </w:tblGrid>
      <w:tr>
        <w:tc>
          <w:tcPr>
            <w:tcW w:type="dxa" w:w="10080"/>
            <w:shd w:fill="EAF0FF"/>
            <w:tcMar>
              <w:top w:w="130" w:type="dxa"/>
              <w:start w:w="170" w:type="dxa"/>
              <w:bottom w:w="130" w:type="dxa"/>
              <w:end w:w="170" w:type="dxa"/>
            </w:tcMar>
          </w:tcPr>
          <w:p>
            <w:r>
              <w:rPr>
                <w:b/>
                <w:color w:val="152446"/>
              </w:rPr>
              <w:t xml:space="preserve">Definisi: </w:t>
            </w:r>
            <w:r>
              <w:rPr>
                <w:color w:val="152446"/>
              </w:rPr>
              <w:t>VINSS adalah private Deal Room di Starknet yang dirancang agar dua pihak dapat berkomunikasi, menegosiasikan penawaran, mengoordinasikan pembayaran, dan menjalankan alur escrow dalam satu ruang transaksi yang privat dan dapat diverifikasi.</w:t>
            </w:r>
          </w:p>
        </w:tc>
      </w:tr>
    </w:tbl>
    <w:p>
      <w:r>
        <w:t>VINSS bukan messenger umum. Setiap room berpusat pada satu kesepakatan atau transaksi. Pesan, penawaran, memo pembayaran, tindakan escrow, dan bukti settlement disusun dalam encrypted timeline.</w:t>
      </w:r>
    </w:p>
    <w:p>
      <w:pPr>
        <w:pStyle w:val="Heading1"/>
      </w:pPr>
      <w:r>
        <w:t>2. Masalah Nyata yang Menjadi Dasar VINSS</w:t>
      </w:r>
    </w:p>
    <w:p>
      <w:r>
        <w:t>Bagian ini hanya menggunakan masalah yang mempunyai bukti publik. Bukti tersebut menunjukkan bahwa fraud, impersonation, irreversibility, dan keterbukaan data transaksi merupakan masalah nyata. Bukti publik tidak otomatis membuktikan bahwa VINSS sudah menemukan product-market fit.</w:t>
      </w:r>
    </w:p>
    <w:p>
      <w:pPr>
        <w:pStyle w:val="Heading2"/>
      </w:pPr>
      <w:r>
        <w:t>2.1 Kerugian akibat fraud dan scam sangat besar</w:t>
      </w:r>
    </w:p>
    <w:p>
      <w:r>
        <w:t>Federal Trade Commission (FTC) melaporkan konsumen kehilangan lebih dari US$12,5 miliar akibat fraud pada 2024, meningkat 25% dari tahun sebelumnya. Kerugian terbesar berasal dari investment scams sebesar US$5,7 miliar, sedangkan imposter scams mencapai US$2,95 miliar. FTC juga menyatakan bahwa pembayaran melalui bank transfer atau cryptocurrency menghasilkan total kerugian lebih besar daripada metode pembayaran lainnya jika digabungkan. [1]</w:t>
      </w:r>
    </w:p>
    <w:p>
      <w:r>
        <w:t>Pada data 2025, FTC melaporkan kerugian US$3,5 miliar akibat imposter scams. Hampir satu dari tiga laporan fraud berkaitan dengan penyamaran, termasuk penyamaran sebagai bank, bisnis, dan pemerintah. [2]</w:t>
      </w:r>
    </w:p>
    <w:tbl>
      <w:tblPr>
        <w:tblW w:type="auto" w:w="0"/>
        <w:jc w:val="center"/>
        <w:tblLook w:firstColumn="1" w:firstRow="1" w:lastColumn="0" w:lastRow="0" w:noHBand="0" w:noVBand="1" w:val="04A0"/>
      </w:tblPr>
      <w:tblGrid>
        <w:gridCol w:w="10080"/>
      </w:tblGrid>
      <w:tr>
        <w:tc>
          <w:tcPr>
            <w:tcW w:type="dxa" w:w="10080"/>
            <w:shd w:fill="EAF8F1"/>
            <w:tcMar>
              <w:top w:w="130" w:type="dxa"/>
              <w:start w:w="170" w:type="dxa"/>
              <w:bottom w:w="130" w:type="dxa"/>
              <w:end w:w="170" w:type="dxa"/>
            </w:tcMar>
          </w:tcPr>
          <w:p>
            <w:r>
              <w:rPr>
                <w:b/>
                <w:color w:val="152446"/>
              </w:rPr>
              <w:t xml:space="preserve">Relevansi: </w:t>
            </w:r>
            <w:r>
              <w:rPr>
                <w:color w:val="152446"/>
              </w:rPr>
              <w:t>Makna bagi VINSS: identitas, konteks komunikasi, dan kejelasan tindakan transaksi harus dibuat lebih sulit untuk dipalsukan. Namun VINSS tidak boleh mengklaim dapat menghapus semua bentuk fraud.</w:t>
            </w:r>
          </w:p>
        </w:tc>
      </w:tr>
    </w:tbl>
    <w:p>
      <w:pPr>
        <w:pStyle w:val="Heading2"/>
      </w:pPr>
      <w:r>
        <w:t>2.2 Cryptocurrency sering digunakan dalam scam dan transaksi sulit dibatalkan</w:t>
      </w:r>
    </w:p>
    <w:p>
      <w:r>
        <w:t>FTC mencatat lebih dari 46.000 orang melaporkan kehilangan lebih dari US$1 miliar dalam cryptocurrency akibat scam sejak awal 2021 hingga Maret 2022. FTC menyoroti bahwa transfer cryptocurrency tidak mudah dibatalkan dan tidak selalu memiliki lembaga yang dapat menghentikan transaksi sebelum dana berpindah. [3]</w:t>
      </w:r>
    </w:p>
    <w:p>
      <w:r>
        <w:t>Data tersebut bersifat luas dan mencakup banyak jenis scam. Angka ini tidak boleh disebut sebagai ukuran pasar VINSS, tetapi membuktikan bahwa koordinasi dan verifikasi sebelum transaksi merupakan kebutuhan nyata.</w:t>
      </w:r>
    </w:p>
    <w:p>
      <w:pPr>
        <w:pStyle w:val="Heading2"/>
      </w:pPr>
      <w:r>
        <w:t>2.3 Banyak scam dimulai dari komunikasi di media sosial</w:t>
      </w:r>
    </w:p>
    <w:p>
      <w:r>
        <w:t>Dalam analisis FTC mengenai scam cryptocurrency, hampir setengah korban yang melaporkan kerugian menyatakan bahwa scam dimulai dari iklan, unggahan, atau pesan di media sosial. Di antara laporan yang menyebut platform, FTC mencatat Instagram, Facebook, WhatsApp, dan Telegram. [3]</w:t>
      </w:r>
    </w:p>
    <w:p>
      <w:r>
        <w:t>FTC juga melaporkan bahwa pada 2025 hampir 30% orang yang kehilangan uang akibat scam mengatakan kasusnya bermula dari media sosial, dengan total kerugian yang dilaporkan mencapai US$2,1 miliar. [4]</w:t>
      </w:r>
    </w:p>
    <w:tbl>
      <w:tblPr>
        <w:tblW w:type="auto" w:w="0"/>
        <w:jc w:val="center"/>
        <w:tblLook w:firstColumn="1" w:firstRow="1" w:lastColumn="0" w:lastRow="0" w:noHBand="0" w:noVBand="1" w:val="04A0"/>
      </w:tblPr>
      <w:tblGrid>
        <w:gridCol w:w="10080"/>
      </w:tblGrid>
      <w:tr>
        <w:tc>
          <w:tcPr>
            <w:tcW w:type="dxa" w:w="10080"/>
            <w:shd w:fill="EAF8F1"/>
            <w:tcMar>
              <w:top w:w="130" w:type="dxa"/>
              <w:start w:w="170" w:type="dxa"/>
              <w:bottom w:w="130" w:type="dxa"/>
              <w:end w:w="170" w:type="dxa"/>
            </w:tcMar>
          </w:tcPr>
          <w:p>
            <w:r>
              <w:rPr>
                <w:b/>
                <w:color w:val="152446"/>
              </w:rPr>
              <w:t xml:space="preserve">Relevansi: </w:t>
            </w:r>
            <w:r>
              <w:rPr>
                <w:color w:val="152446"/>
              </w:rPr>
              <w:t>Makna bagi VINSS: memisahkan percakapan dari status transaksi dapat menciptakan ruang bagi penyamaran dan kebingungan. VINSS mengusulkan satu timeline yang menghubungkan pesan dengan tindakan on-chain. Efektivitas solusi ini masih harus diuji kepada pengguna.</w:t>
            </w:r>
          </w:p>
        </w:tc>
      </w:tr>
    </w:tbl>
    <w:p>
      <w:pPr>
        <w:pStyle w:val="Heading2"/>
      </w:pPr>
      <w:r>
        <w:t>2.4 Aktivitas blockchain publik dapat dianalisis</w:t>
      </w:r>
    </w:p>
    <w:p>
      <w:r>
        <w:t>Blockchain publik dirancang agar transaksi dapat diverifikasi. Konsekuensinya, alamat, saldo, perpindahan aset, waktu transaksi, dan pola hubungan dapat menjadi bahan analisis. Starknet menjelaskan bahwa pada private transfer STRK20, pengamat publik masih melihat encrypted notes dan metadata protokol yang diperlukan, tetapi tidak melihat pengirim, penerima, jumlah, atau private balance yang digunakan. [5]</w:t>
      </w:r>
    </w:p>
    <w:p>
      <w:r>
        <w:t>Hal ini membuktikan dua hal: privasi transaksi memang dibutuhkan, tetapi privasi bukan berarti seluruh metadata hilang. VINSS harus menjelaskan secara jujur apa yang tersembunyi dan apa yang tetap terlihat.</w:t>
      </w:r>
    </w:p>
    <w:p>
      <w:pPr>
        <w:pStyle w:val="Heading2"/>
      </w:pPr>
      <w:r>
        <w:t>2.5 Scam crypto terus berkembang dan semakin terorganisasi</w:t>
      </w:r>
    </w:p>
    <w:p>
      <w:r>
        <w:t>Chainalysis memperkirakan sedikitnya US$14 miliar masuk ke alamat scam pada 2025 dan memperkirakan angka akhir dapat melampaui US$17 miliar setelah lebih banyak alamat teridentifikasi. Laporan tersebut juga menyoroti pertumbuhan impersonation scam serta penggunaan AI, phishing, dan infrastruktur operasi yang semakin profesional. [6]</w:t>
      </w:r>
    </w:p>
    <w:tbl>
      <w:tblPr>
        <w:tblW w:type="auto" w:w="0"/>
        <w:jc w:val="center"/>
        <w:tblLook w:firstColumn="1" w:firstRow="1" w:lastColumn="0" w:lastRow="0" w:noHBand="0" w:noVBand="1" w:val="04A0"/>
      </w:tblPr>
      <w:tblGrid>
        <w:gridCol w:w="10080"/>
      </w:tblGrid>
      <w:tr>
        <w:tc>
          <w:tcPr>
            <w:tcW w:type="dxa" w:w="10080"/>
            <w:shd w:fill="FFF4E5"/>
            <w:tcMar>
              <w:top w:w="130" w:type="dxa"/>
              <w:start w:w="170" w:type="dxa"/>
              <w:bottom w:w="130" w:type="dxa"/>
              <w:end w:w="170" w:type="dxa"/>
            </w:tcMar>
          </w:tcPr>
          <w:p>
            <w:r>
              <w:rPr>
                <w:b/>
                <w:color w:val="152446"/>
              </w:rPr>
              <w:t xml:space="preserve">Batas interpretasi: </w:t>
            </w:r>
            <w:r>
              <w:rPr>
                <w:color w:val="152446"/>
              </w:rPr>
              <w:t>Angka Chainalysis adalah estimasi industri berbasis analisis on-chain, bukan statistik resmi seluruh dunia. Dokumen VINSS membedakannya dari laporan resmi pemerintah.</w:t>
            </w:r>
          </w:p>
        </w:tc>
      </w:tr>
    </w:tbl>
    <w:p>
      <w:pPr>
        <w:pStyle w:val="Heading1"/>
      </w:pPr>
      <w:r>
        <w:t>3. Rumusan Masalah VINSS</w:t>
      </w:r>
    </w:p>
    <w:tbl>
      <w:tblPr>
        <w:tblW w:type="auto" w:w="0"/>
        <w:jc w:val="center"/>
        <w:tblLook w:firstColumn="1" w:firstRow="1" w:lastColumn="0" w:lastRow="0" w:noHBand="0" w:noVBand="1" w:val="04A0"/>
      </w:tblPr>
      <w:tblGrid>
        <w:gridCol w:w="10080"/>
      </w:tblGrid>
      <w:tr>
        <w:tc>
          <w:tcPr>
            <w:tcW w:type="dxa" w:w="10080"/>
            <w:shd w:fill="EAF0FF"/>
            <w:tcMar>
              <w:top w:w="130" w:type="dxa"/>
              <w:start w:w="170" w:type="dxa"/>
              <w:bottom w:w="130" w:type="dxa"/>
              <w:end w:w="170" w:type="dxa"/>
            </w:tcMar>
          </w:tcPr>
          <w:p>
            <w:r>
              <w:rPr>
                <w:b/>
                <w:color w:val="152446"/>
              </w:rPr>
              <w:t xml:space="preserve">Rumusan masalah: </w:t>
            </w:r>
            <w:r>
              <w:rPr>
                <w:color w:val="152446"/>
              </w:rPr>
              <w:t>Pihak yang melakukan transaksi sensitif di blockchain sering harus berpindah antara chat, wallet, bukti manual, dan layanan escrow. Pada saat yang sama, scam dan impersonation banyak bermula dari komunikasi digital, transfer cryptocurrency sulit dibatalkan, dan transaksi publik dapat mengungkap hubungan keuangan. Kondisi ini membutuhkan cara yang lebih terstruktur untuk menghubungkan komunikasi, persetujuan, pembayaran, dan bukti transaksi.</w:t>
            </w:r>
          </w:p>
        </w:tc>
      </w:tr>
    </w:tbl>
    <w:p>
      <w:pPr>
        <w:pStyle w:val="Heading2"/>
      </w:pPr>
      <w:r>
        <w:t>3.1 Hal yang sudah terbukti oleh sumber publik</w:t>
      </w:r>
    </w:p>
    <w:p>
      <w:pPr>
        <w:pStyle w:val="ListBullet"/>
        <w:spacing w:after="40"/>
      </w:pPr>
      <w:r>
        <w:t>Fraud dan impersonation menghasilkan kerugian besar.</w:t>
      </w:r>
    </w:p>
    <w:p>
      <w:pPr>
        <w:pStyle w:val="ListBullet"/>
        <w:spacing w:after="40"/>
      </w:pPr>
      <w:r>
        <w:t>Cryptocurrency digunakan sebagai metode pembayaran dalam berbagai scam.</w:t>
      </w:r>
    </w:p>
    <w:p>
      <w:pPr>
        <w:pStyle w:val="ListBullet"/>
        <w:spacing w:after="40"/>
      </w:pPr>
      <w:r>
        <w:t>Transfer cryptocurrency biasanya sulit dibatalkan.</w:t>
      </w:r>
    </w:p>
    <w:p>
      <w:pPr>
        <w:pStyle w:val="ListBullet"/>
        <w:spacing w:after="40"/>
      </w:pPr>
      <w:r>
        <w:t>Banyak scam bermula dari pesan atau interaksi media sosial.</w:t>
      </w:r>
    </w:p>
    <w:p>
      <w:pPr>
        <w:pStyle w:val="ListBullet"/>
        <w:spacing w:after="40"/>
      </w:pPr>
      <w:r>
        <w:t>Blockchain publik membuka data transaksi untuk dianalisis.</w:t>
      </w:r>
    </w:p>
    <w:p>
      <w:pPr>
        <w:pStyle w:val="ListBullet"/>
        <w:spacing w:after="40"/>
      </w:pPr>
      <w:r>
        <w:t>STRK20 menyediakan mekanisme untuk menyembunyikan pengirim, penerima, jumlah, dan private balances pada private transfer.</w:t>
      </w:r>
    </w:p>
    <w:p>
      <w:pPr>
        <w:pStyle w:val="Heading2"/>
      </w:pPr>
      <w:r>
        <w:t>3.2 Hal yang masih merupakan hipotesis VINSS</w:t>
      </w:r>
    </w:p>
    <w:p>
      <w:pPr>
        <w:pStyle w:val="ListBullet"/>
        <w:spacing w:after="40"/>
      </w:pPr>
      <w:r>
        <w:t>Freelancer, OTC desk, tim crypto, atau marketplace adalah pengguna awal terbaik.</w:t>
      </w:r>
    </w:p>
    <w:p>
      <w:pPr>
        <w:pStyle w:val="ListBullet"/>
        <w:spacing w:after="40"/>
      </w:pPr>
      <w:r>
        <w:t>Pengguna bersedia memindahkan negosiasi dari Telegram/WhatsApp ke Deal Room.</w:t>
      </w:r>
    </w:p>
    <w:p>
      <w:pPr>
        <w:pStyle w:val="ListBullet"/>
        <w:spacing w:after="40"/>
      </w:pPr>
      <w:r>
        <w:t>Pengguna bersedia membayar fee private payment atau Deal Escrow.</w:t>
      </w:r>
    </w:p>
    <w:p>
      <w:pPr>
        <w:pStyle w:val="ListBullet"/>
        <w:spacing w:after="40"/>
      </w:pPr>
      <w:r>
        <w:t>Encrypted timeline lebih mudah dan lebih dipercaya daripada kombinasi chat dan wallet.</w:t>
      </w:r>
    </w:p>
    <w:p>
      <w:pPr>
        <w:pStyle w:val="ListBullet"/>
        <w:spacing w:after="40"/>
      </w:pPr>
      <w:r>
        <w:t>Privasi konteks deal cukup penting untuk mendorong penggunaan berulang.</w:t>
      </w:r>
    </w:p>
    <w:tbl>
      <w:tblPr>
        <w:tblW w:type="auto" w:w="0"/>
        <w:jc w:val="center"/>
        <w:tblLook w:firstColumn="1" w:firstRow="1" w:lastColumn="0" w:lastRow="0" w:noHBand="0" w:noVBand="1" w:val="04A0"/>
      </w:tblPr>
      <w:tblGrid>
        <w:gridCol w:w="10080"/>
      </w:tblGrid>
      <w:tr>
        <w:tc>
          <w:tcPr>
            <w:tcW w:type="dxa" w:w="10080"/>
            <w:shd w:fill="FFF4E5"/>
            <w:tcMar>
              <w:top w:w="130" w:type="dxa"/>
              <w:start w:w="170" w:type="dxa"/>
              <w:bottom w:w="130" w:type="dxa"/>
              <w:end w:w="170" w:type="dxa"/>
            </w:tcMar>
          </w:tcPr>
          <w:p>
            <w:r>
              <w:rPr>
                <w:b/>
                <w:color w:val="152446"/>
              </w:rPr>
              <w:t xml:space="preserve">Aturan validasi: </w:t>
            </w:r>
            <w:r>
              <w:rPr>
                <w:color w:val="152446"/>
              </w:rPr>
              <w:t>Hipotesis tidak akan ditulis sebagai fakta. VINSS harus mengujinya melalui wawancara, demo, pilot, dan data penggunaan.</w:t>
            </w:r>
          </w:p>
        </w:tc>
      </w:tr>
    </w:tbl>
    <w:p>
      <w:pPr>
        <w:pStyle w:val="Heading1"/>
      </w:pPr>
      <w:r>
        <w:t>4. Solusi VINSS</w:t>
      </w:r>
    </w:p>
    <w:p>
      <w:r>
        <w:t>VINSS menggabungkan komunikasi privat dan tindakan transaksi dalam satu private Deal Room. Setiap tindakan memiliki status, pihak yang melakukan, bukti transaksi, dan posisi yang jelas dalam alur kesepakatan.</w:t>
      </w:r>
    </w:p>
    <w:p>
      <w:pPr>
        <w:pStyle w:val="ListNumber"/>
        <w:spacing w:after="40"/>
      </w:pPr>
      <w:r>
        <w:t>Buat room dan undang pihak lawan.</w:t>
      </w:r>
    </w:p>
    <w:p>
      <w:pPr>
        <w:pStyle w:val="ListNumber"/>
        <w:spacing w:after="40"/>
      </w:pPr>
      <w:r>
        <w:t>Bangun konteks komunikasi privat.</w:t>
      </w:r>
    </w:p>
    <w:p>
      <w:pPr>
        <w:pStyle w:val="ListNumber"/>
        <w:spacing w:after="40"/>
      </w:pPr>
      <w:r>
        <w:t>Kirim pesan dan lampiran terenkripsi.</w:t>
      </w:r>
    </w:p>
    <w:p>
      <w:pPr>
        <w:pStyle w:val="ListNumber"/>
        <w:spacing w:after="40"/>
      </w:pPr>
      <w:r>
        <w:t>Buat, ubah, terima, atau tolak penawaran.</w:t>
      </w:r>
    </w:p>
    <w:p>
      <w:pPr>
        <w:pStyle w:val="ListNumber"/>
        <w:spacing w:after="40"/>
      </w:pPr>
      <w:r>
        <w:t>Kirim pembayaran dengan konteks privat atau mulai escrow.</w:t>
      </w:r>
    </w:p>
    <w:p>
      <w:pPr>
        <w:pStyle w:val="ListNumber"/>
        <w:spacing w:after="40"/>
      </w:pPr>
      <w:r>
        <w:t>Lakukan funding, persetujuan, release, cancel, atau settlement.</w:t>
      </w:r>
    </w:p>
    <w:p>
      <w:pPr>
        <w:pStyle w:val="ListNumber"/>
        <w:spacing w:after="40"/>
      </w:pPr>
      <w:r>
        <w:t>Simpan bukti transaksi tanpa mempublikasikan isi kesepakatan.</w:t>
      </w:r>
    </w:p>
    <w:p>
      <w:pPr>
        <w:pStyle w:val="Heading1"/>
      </w:pPr>
      <w:r>
        <w:t>5. Mengapa Starknet dan STRK20?</w:t>
      </w:r>
    </w:p>
    <w:p>
      <w:r>
        <w:t>STRK20 adalah kerangka privasi Starknet untuk aset ERC-20. Situs resmi STRK20 menjelaskan dukungan untuk shielded balances, private transfers, private DeFi, existing liquidity, existing wallets, dan jalur compliance melalui viewing keys serta screening pada level wallet. [7]</w:t>
      </w:r>
    </w:p>
    <w:p>
      <w:r>
        <w:t>Starknet menjelaskan bahwa STRK20 menggunakan note-based Privacy Pool. Aset yang di-shield direpresentasikan sebagai encrypted note. Private transaction membelanjakan note lama dan membuat note baru, kemudian zero-knowledge proof diverifikasi on-chain sebelum state pool diperbarui. [5]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Kemampuan resmi</w:t>
            </w:r>
          </w:p>
        </w:tc>
        <w:tc>
          <w:tcPr>
            <w:tcW w:type="dxa" w:w="5040"/>
            <w:shd w:fill="152446"/>
            <w:tcMar>
              <w:top w:w="90" w:type="dxa"/>
              <w:start w:w="100" w:type="dxa"/>
              <w:bottom w:w="90" w:type="dxa"/>
              <w:end w:w="100" w:type="dxa"/>
            </w:tcMar>
          </w:tcPr>
          <w:p>
            <w:r>
              <w:rPr>
                <w:b/>
                <w:color w:val="FFFFFF"/>
                <w:sz w:val="17"/>
              </w:rPr>
              <w:t>Penggunaan dalam arah VINSS</w:t>
            </w:r>
          </w:p>
        </w:tc>
      </w:tr>
      <w:tr>
        <w:tc>
          <w:tcPr>
            <w:tcW w:type="dxa" w:w="5040"/>
            <w:tcMar>
              <w:top w:w="90" w:type="dxa"/>
              <w:start w:w="100" w:type="dxa"/>
              <w:bottom w:w="90" w:type="dxa"/>
              <w:end w:w="100" w:type="dxa"/>
            </w:tcMar>
          </w:tcPr>
          <w:p>
            <w:r>
              <w:rPr>
                <w:sz w:val="17"/>
              </w:rPr>
              <w:t>Shielded balance</w:t>
            </w:r>
          </w:p>
        </w:tc>
        <w:tc>
          <w:tcPr>
            <w:tcW w:type="dxa" w:w="5040"/>
            <w:tcMar>
              <w:top w:w="90" w:type="dxa"/>
              <w:start w:w="100" w:type="dxa"/>
              <w:bottom w:w="90" w:type="dxa"/>
              <w:end w:w="100" w:type="dxa"/>
            </w:tcMar>
          </w:tcPr>
          <w:p>
            <w:r>
              <w:rPr>
                <w:sz w:val="17"/>
              </w:rPr>
              <w:t>Menjadi dasar saldo private di Wallet.</w:t>
            </w:r>
          </w:p>
        </w:tc>
      </w:tr>
      <w:tr>
        <w:tc>
          <w:tcPr>
            <w:tcW w:type="dxa" w:w="5040"/>
            <w:tcMar>
              <w:top w:w="90" w:type="dxa"/>
              <w:start w:w="100" w:type="dxa"/>
              <w:bottom w:w="90" w:type="dxa"/>
              <w:end w:w="100" w:type="dxa"/>
            </w:tcMar>
            <w:shd w:fill="F6F8FC"/>
          </w:tcPr>
          <w:p>
            <w:r>
              <w:rPr>
                <w:sz w:val="17"/>
              </w:rPr>
              <w:t>Private transfer</w:t>
            </w:r>
          </w:p>
        </w:tc>
        <w:tc>
          <w:tcPr>
            <w:tcW w:type="dxa" w:w="5040"/>
            <w:tcMar>
              <w:top w:w="90" w:type="dxa"/>
              <w:start w:w="100" w:type="dxa"/>
              <w:bottom w:w="90" w:type="dxa"/>
              <w:end w:w="100" w:type="dxa"/>
            </w:tcMar>
            <w:shd w:fill="F6F8FC"/>
          </w:tcPr>
          <w:p>
            <w:r>
              <w:rPr>
                <w:sz w:val="17"/>
              </w:rPr>
              <w:t>Menjadi dasar pembayaran private antar pihak.</w:t>
            </w:r>
          </w:p>
        </w:tc>
      </w:tr>
      <w:tr>
        <w:tc>
          <w:tcPr>
            <w:tcW w:type="dxa" w:w="5040"/>
            <w:tcMar>
              <w:top w:w="90" w:type="dxa"/>
              <w:start w:w="100" w:type="dxa"/>
              <w:bottom w:w="90" w:type="dxa"/>
              <w:end w:w="100" w:type="dxa"/>
            </w:tcMar>
          </w:tcPr>
          <w:p>
            <w:r>
              <w:rPr>
                <w:sz w:val="17"/>
              </w:rPr>
              <w:t>Private application flow</w:t>
            </w:r>
          </w:p>
        </w:tc>
        <w:tc>
          <w:tcPr>
            <w:tcW w:type="dxa" w:w="5040"/>
            <w:tcMar>
              <w:top w:w="90" w:type="dxa"/>
              <w:start w:w="100" w:type="dxa"/>
              <w:bottom w:w="90" w:type="dxa"/>
              <w:end w:w="100" w:type="dxa"/>
            </w:tcMar>
          </w:tcPr>
          <w:p>
            <w:r>
              <w:rPr>
                <w:sz w:val="17"/>
              </w:rPr>
              <w:t>Membuka jalur untuk Deal Room memanggil helper contract secara privat.</w:t>
            </w:r>
          </w:p>
        </w:tc>
      </w:tr>
      <w:tr>
        <w:tc>
          <w:tcPr>
            <w:tcW w:type="dxa" w:w="5040"/>
            <w:tcMar>
              <w:top w:w="90" w:type="dxa"/>
              <w:start w:w="100" w:type="dxa"/>
              <w:bottom w:w="90" w:type="dxa"/>
              <w:end w:w="100" w:type="dxa"/>
            </w:tcMar>
            <w:shd w:fill="F6F8FC"/>
          </w:tcPr>
          <w:p>
            <w:r>
              <w:rPr>
                <w:sz w:val="17"/>
              </w:rPr>
              <w:t>Existing ERC-20 assets</w:t>
            </w:r>
          </w:p>
        </w:tc>
        <w:tc>
          <w:tcPr>
            <w:tcW w:type="dxa" w:w="5040"/>
            <w:tcMar>
              <w:top w:w="90" w:type="dxa"/>
              <w:start w:w="100" w:type="dxa"/>
              <w:bottom w:w="90" w:type="dxa"/>
              <w:end w:w="100" w:type="dxa"/>
            </w:tcMar>
            <w:shd w:fill="F6F8FC"/>
          </w:tcPr>
          <w:p>
            <w:r>
              <w:rPr>
                <w:sz w:val="17"/>
              </w:rPr>
              <w:t>Tidak memerlukan aset privasi terpisah.</w:t>
            </w:r>
          </w:p>
        </w:tc>
      </w:tr>
      <w:tr>
        <w:tc>
          <w:tcPr>
            <w:tcW w:type="dxa" w:w="5040"/>
            <w:tcMar>
              <w:top w:w="90" w:type="dxa"/>
              <w:start w:w="100" w:type="dxa"/>
              <w:bottom w:w="90" w:type="dxa"/>
              <w:end w:w="100" w:type="dxa"/>
            </w:tcMar>
          </w:tcPr>
          <w:p>
            <w:r>
              <w:rPr>
                <w:sz w:val="17"/>
              </w:rPr>
              <w:t>Wallet integration</w:t>
            </w:r>
          </w:p>
        </w:tc>
        <w:tc>
          <w:tcPr>
            <w:tcW w:type="dxa" w:w="5040"/>
            <w:tcMar>
              <w:top w:w="90" w:type="dxa"/>
              <w:start w:w="100" w:type="dxa"/>
              <w:bottom w:w="90" w:type="dxa"/>
              <w:end w:w="100" w:type="dxa"/>
            </w:tcMar>
          </w:tcPr>
          <w:p>
            <w:r>
              <w:rPr>
                <w:sz w:val="17"/>
              </w:rPr>
              <w:t>Mendukung pengalaman pengguna yang lebih dekat dengan aplikasi Starknet biasa.</w:t>
            </w:r>
          </w:p>
        </w:tc>
      </w:tr>
      <w:tr>
        <w:tc>
          <w:tcPr>
            <w:tcW w:type="dxa" w:w="5040"/>
            <w:tcMar>
              <w:top w:w="90" w:type="dxa"/>
              <w:start w:w="100" w:type="dxa"/>
              <w:bottom w:w="90" w:type="dxa"/>
              <w:end w:w="100" w:type="dxa"/>
            </w:tcMar>
            <w:shd w:fill="F6F8FC"/>
          </w:tcPr>
          <w:p>
            <w:r>
              <w:rPr>
                <w:sz w:val="17"/>
              </w:rPr>
              <w:t>Viewing/disclosure path</w:t>
            </w:r>
          </w:p>
        </w:tc>
        <w:tc>
          <w:tcPr>
            <w:tcW w:type="dxa" w:w="5040"/>
            <w:tcMar>
              <w:top w:w="90" w:type="dxa"/>
              <w:start w:w="100" w:type="dxa"/>
              <w:bottom w:w="90" w:type="dxa"/>
              <w:end w:w="100" w:type="dxa"/>
            </w:tcMar>
            <w:shd w:fill="F6F8FC"/>
          </w:tcPr>
          <w:p>
            <w:r>
              <w:rPr>
                <w:sz w:val="17"/>
              </w:rPr>
              <w:t>Memberi arah selective disclosure ketika pengguna atau aturan membutuhkan.</w:t>
            </w:r>
          </w:p>
        </w:tc>
      </w:tr>
    </w:tbl>
    <w:p>
      <w:pPr>
        <w:pStyle w:val="Heading1"/>
      </w:pPr>
      <w:r>
        <w:t>6. Fitur Produk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Fitur</w:t>
            </w:r>
          </w:p>
        </w:tc>
        <w:tc>
          <w:tcPr>
            <w:tcW w:type="dxa" w:w="5040"/>
            <w:shd w:fill="152446"/>
            <w:tcMar>
              <w:top w:w="90" w:type="dxa"/>
              <w:start w:w="100" w:type="dxa"/>
              <w:bottom w:w="90" w:type="dxa"/>
              <w:end w:w="100" w:type="dxa"/>
            </w:tcMar>
          </w:tcPr>
          <w:p>
            <w:r>
              <w:rPr>
                <w:b/>
                <w:color w:val="FFFFFF"/>
                <w:sz w:val="17"/>
              </w:rPr>
              <w:t>Fungsi</w:t>
            </w:r>
          </w:p>
        </w:tc>
      </w:tr>
      <w:tr>
        <w:tc>
          <w:tcPr>
            <w:tcW w:type="dxa" w:w="5040"/>
            <w:tcMar>
              <w:top w:w="90" w:type="dxa"/>
              <w:start w:w="100" w:type="dxa"/>
              <w:bottom w:w="90" w:type="dxa"/>
              <w:end w:w="100" w:type="dxa"/>
            </w:tcMar>
          </w:tcPr>
          <w:p>
            <w:r>
              <w:rPr>
                <w:sz w:val="17"/>
              </w:rPr>
              <w:t>Home</w:t>
            </w:r>
          </w:p>
        </w:tc>
        <w:tc>
          <w:tcPr>
            <w:tcW w:type="dxa" w:w="5040"/>
            <w:tcMar>
              <w:top w:w="90" w:type="dxa"/>
              <w:start w:w="100" w:type="dxa"/>
              <w:bottom w:w="90" w:type="dxa"/>
              <w:end w:w="100" w:type="dxa"/>
            </w:tcMar>
          </w:tcPr>
          <w:p>
            <w:r>
              <w:rPr>
                <w:sz w:val="17"/>
              </w:rPr>
              <w:t>Ringkasan nilai produk, tindakan utama, status jaringan, dan tautan resmi.</w:t>
            </w:r>
          </w:p>
        </w:tc>
      </w:tr>
      <w:tr>
        <w:tc>
          <w:tcPr>
            <w:tcW w:type="dxa" w:w="5040"/>
            <w:tcMar>
              <w:top w:w="90" w:type="dxa"/>
              <w:start w:w="100" w:type="dxa"/>
              <w:bottom w:w="90" w:type="dxa"/>
              <w:end w:w="100" w:type="dxa"/>
            </w:tcMar>
            <w:shd w:fill="F6F8FC"/>
          </w:tcPr>
          <w:p>
            <w:r>
              <w:rPr>
                <w:sz w:val="17"/>
              </w:rPr>
              <w:t>Rooms</w:t>
            </w:r>
          </w:p>
        </w:tc>
        <w:tc>
          <w:tcPr>
            <w:tcW w:type="dxa" w:w="5040"/>
            <w:tcMar>
              <w:top w:w="90" w:type="dxa"/>
              <w:start w:w="100" w:type="dxa"/>
              <w:bottom w:w="90" w:type="dxa"/>
              <w:end w:w="100" w:type="dxa"/>
            </w:tcMar>
            <w:shd w:fill="F6F8FC"/>
          </w:tcPr>
          <w:p>
            <w:r>
              <w:rPr>
                <w:sz w:val="17"/>
              </w:rPr>
              <w:t>Daftar private Deal Room dan status undangan.</w:t>
            </w:r>
          </w:p>
        </w:tc>
      </w:tr>
      <w:tr>
        <w:tc>
          <w:tcPr>
            <w:tcW w:type="dxa" w:w="5040"/>
            <w:tcMar>
              <w:top w:w="90" w:type="dxa"/>
              <w:start w:w="100" w:type="dxa"/>
              <w:bottom w:w="90" w:type="dxa"/>
              <w:end w:w="100" w:type="dxa"/>
            </w:tcMar>
          </w:tcPr>
          <w:p>
            <w:r>
              <w:rPr>
                <w:sz w:val="17"/>
              </w:rPr>
              <w:t>Deal Room</w:t>
            </w:r>
          </w:p>
        </w:tc>
        <w:tc>
          <w:tcPr>
            <w:tcW w:type="dxa" w:w="5040"/>
            <w:tcMar>
              <w:top w:w="90" w:type="dxa"/>
              <w:start w:w="100" w:type="dxa"/>
              <w:bottom w:w="90" w:type="dxa"/>
              <w:end w:w="100" w:type="dxa"/>
            </w:tcMar>
          </w:tcPr>
          <w:p>
            <w:r>
              <w:rPr>
                <w:sz w:val="17"/>
              </w:rPr>
              <w:t>Encrypted timeline dengan Upload, Offer, Pay, Escrow, dan AI.</w:t>
            </w:r>
          </w:p>
        </w:tc>
      </w:tr>
      <w:tr>
        <w:tc>
          <w:tcPr>
            <w:tcW w:type="dxa" w:w="5040"/>
            <w:tcMar>
              <w:top w:w="90" w:type="dxa"/>
              <w:start w:w="100" w:type="dxa"/>
              <w:bottom w:w="90" w:type="dxa"/>
              <w:end w:w="100" w:type="dxa"/>
            </w:tcMar>
            <w:shd w:fill="F6F8FC"/>
          </w:tcPr>
          <w:p>
            <w:r>
              <w:rPr>
                <w:sz w:val="17"/>
              </w:rPr>
              <w:t>Offer</w:t>
            </w:r>
          </w:p>
        </w:tc>
        <w:tc>
          <w:tcPr>
            <w:tcW w:type="dxa" w:w="5040"/>
            <w:tcMar>
              <w:top w:w="90" w:type="dxa"/>
              <w:start w:w="100" w:type="dxa"/>
              <w:bottom w:w="90" w:type="dxa"/>
              <w:end w:w="100" w:type="dxa"/>
            </w:tcMar>
            <w:shd w:fill="F6F8FC"/>
          </w:tcPr>
          <w:p>
            <w:r>
              <w:rPr>
                <w:sz w:val="17"/>
              </w:rPr>
              <w:t>Penawaran, counter offer, accept, reject, expire, dan convert to escrow.</w:t>
            </w:r>
          </w:p>
        </w:tc>
      </w:tr>
      <w:tr>
        <w:tc>
          <w:tcPr>
            <w:tcW w:type="dxa" w:w="5040"/>
            <w:tcMar>
              <w:top w:w="90" w:type="dxa"/>
              <w:start w:w="100" w:type="dxa"/>
              <w:bottom w:w="90" w:type="dxa"/>
              <w:end w:w="100" w:type="dxa"/>
            </w:tcMar>
          </w:tcPr>
          <w:p>
            <w:r>
              <w:rPr>
                <w:sz w:val="17"/>
              </w:rPr>
              <w:t>Private Payment Memo</w:t>
            </w:r>
          </w:p>
        </w:tc>
        <w:tc>
          <w:tcPr>
            <w:tcW w:type="dxa" w:w="5040"/>
            <w:tcMar>
              <w:top w:w="90" w:type="dxa"/>
              <w:start w:w="100" w:type="dxa"/>
              <w:bottom w:w="90" w:type="dxa"/>
              <w:end w:w="100" w:type="dxa"/>
            </w:tcMar>
          </w:tcPr>
          <w:p>
            <w:r>
              <w:rPr>
                <w:sz w:val="17"/>
              </w:rPr>
              <w:t>Konteks pembayaran yang tidak ditampilkan sebagai plaintext publik.</w:t>
            </w:r>
          </w:p>
        </w:tc>
      </w:tr>
      <w:tr>
        <w:tc>
          <w:tcPr>
            <w:tcW w:type="dxa" w:w="5040"/>
            <w:tcMar>
              <w:top w:w="90" w:type="dxa"/>
              <w:start w:w="100" w:type="dxa"/>
              <w:bottom w:w="90" w:type="dxa"/>
              <w:end w:w="100" w:type="dxa"/>
            </w:tcMar>
            <w:shd w:fill="F6F8FC"/>
          </w:tcPr>
          <w:p>
            <w:r>
              <w:rPr>
                <w:sz w:val="17"/>
              </w:rPr>
              <w:t>Deal Escrow</w:t>
            </w:r>
          </w:p>
        </w:tc>
        <w:tc>
          <w:tcPr>
            <w:tcW w:type="dxa" w:w="5040"/>
            <w:tcMar>
              <w:top w:w="90" w:type="dxa"/>
              <w:start w:w="100" w:type="dxa"/>
              <w:bottom w:w="90" w:type="dxa"/>
              <w:end w:w="100" w:type="dxa"/>
            </w:tcMar>
            <w:shd w:fill="F6F8FC"/>
          </w:tcPr>
          <w:p>
            <w:r>
              <w:rPr>
                <w:sz w:val="17"/>
              </w:rPr>
              <w:t>Koordinasi deposit, activation, approval, release, cancel, dan settlement.</w:t>
            </w:r>
          </w:p>
        </w:tc>
      </w:tr>
      <w:tr>
        <w:tc>
          <w:tcPr>
            <w:tcW w:type="dxa" w:w="5040"/>
            <w:tcMar>
              <w:top w:w="90" w:type="dxa"/>
              <w:start w:w="100" w:type="dxa"/>
              <w:bottom w:w="90" w:type="dxa"/>
              <w:end w:w="100" w:type="dxa"/>
            </w:tcMar>
          </w:tcPr>
          <w:p>
            <w:r>
              <w:rPr>
                <w:sz w:val="17"/>
              </w:rPr>
              <w:t>Wallet</w:t>
            </w:r>
          </w:p>
        </w:tc>
        <w:tc>
          <w:tcPr>
            <w:tcW w:type="dxa" w:w="5040"/>
            <w:tcMar>
              <w:top w:w="90" w:type="dxa"/>
              <w:start w:w="100" w:type="dxa"/>
              <w:bottom w:w="90" w:type="dxa"/>
              <w:end w:w="100" w:type="dxa"/>
            </w:tcMar>
          </w:tcPr>
          <w:p>
            <w:r>
              <w:rPr>
                <w:sz w:val="17"/>
              </w:rPr>
              <w:t>Saldo publik/private, Shield, private transfer, dan Unshield.</w:t>
            </w:r>
          </w:p>
        </w:tc>
      </w:tr>
      <w:tr>
        <w:tc>
          <w:tcPr>
            <w:tcW w:type="dxa" w:w="5040"/>
            <w:tcMar>
              <w:top w:w="90" w:type="dxa"/>
              <w:start w:w="100" w:type="dxa"/>
              <w:bottom w:w="90" w:type="dxa"/>
              <w:end w:w="100" w:type="dxa"/>
            </w:tcMar>
            <w:shd w:fill="F6F8FC"/>
          </w:tcPr>
          <w:p>
            <w:r>
              <w:rPr>
                <w:sz w:val="17"/>
              </w:rPr>
              <w:t>Evidence</w:t>
            </w:r>
          </w:p>
        </w:tc>
        <w:tc>
          <w:tcPr>
            <w:tcW w:type="dxa" w:w="5040"/>
            <w:tcMar>
              <w:top w:w="90" w:type="dxa"/>
              <w:start w:w="100" w:type="dxa"/>
              <w:bottom w:w="90" w:type="dxa"/>
              <w:end w:w="100" w:type="dxa"/>
            </w:tcMar>
            <w:shd w:fill="F6F8FC"/>
          </w:tcPr>
          <w:p>
            <w:r>
              <w:rPr>
                <w:sz w:val="17"/>
              </w:rPr>
              <w:t>Transaction hash, receipt, block, proof status, dan settlement evidence.</w:t>
            </w:r>
          </w:p>
        </w:tc>
      </w:tr>
      <w:tr>
        <w:tc>
          <w:tcPr>
            <w:tcW w:type="dxa" w:w="5040"/>
            <w:tcMar>
              <w:top w:w="90" w:type="dxa"/>
              <w:start w:w="100" w:type="dxa"/>
              <w:bottom w:w="90" w:type="dxa"/>
              <w:end w:w="100" w:type="dxa"/>
            </w:tcMar>
          </w:tcPr>
          <w:p>
            <w:r>
              <w:rPr>
                <w:sz w:val="17"/>
              </w:rPr>
              <w:t>Points</w:t>
            </w:r>
          </w:p>
        </w:tc>
        <w:tc>
          <w:tcPr>
            <w:tcW w:type="dxa" w:w="5040"/>
            <w:tcMar>
              <w:top w:w="90" w:type="dxa"/>
              <w:start w:w="100" w:type="dxa"/>
              <w:bottom w:w="90" w:type="dxa"/>
              <w:end w:w="100" w:type="dxa"/>
            </w:tcMar>
          </w:tcPr>
          <w:p>
            <w:r>
              <w:rPr>
                <w:sz w:val="17"/>
              </w:rPr>
              <w:t>Badge, level, diskon fee, room limit, beta access, reputation, dan eligibility reward.</w:t>
            </w:r>
          </w:p>
        </w:tc>
      </w:tr>
    </w:tbl>
    <w:tbl>
      <w:tblPr>
        <w:tblW w:type="auto" w:w="0"/>
        <w:jc w:val="center"/>
        <w:tblLook w:firstColumn="1" w:firstRow="1" w:lastColumn="0" w:lastRow="0" w:noHBand="0" w:noVBand="1" w:val="04A0"/>
      </w:tblPr>
      <w:tblGrid>
        <w:gridCol w:w="10080"/>
      </w:tblGrid>
      <w:tr>
        <w:tc>
          <w:tcPr>
            <w:tcW w:type="dxa" w:w="10080"/>
            <w:shd w:fill="EAF8F1"/>
            <w:tcMar>
              <w:top w:w="130" w:type="dxa"/>
              <w:start w:w="170" w:type="dxa"/>
              <w:bottom w:w="130" w:type="dxa"/>
              <w:end w:w="170" w:type="dxa"/>
            </w:tcMar>
          </w:tcPr>
          <w:p>
            <w:r>
              <w:rPr>
                <w:b/>
                <w:color w:val="152446"/>
              </w:rPr>
              <w:t xml:space="preserve">Batas Points: </w:t>
            </w:r>
            <w:r>
              <w:rPr>
                <w:color w:val="152446"/>
              </w:rPr>
              <w:t>Points bukan saldo, tidak dijual, dan bukan janji token. Revenue VINSS tidak berasal dari penjualan Points.</w:t>
            </w:r>
          </w:p>
        </w:tc>
      </w:tr>
    </w:tbl>
    <w:p>
      <w:pPr>
        <w:pStyle w:val="Heading1"/>
      </w:pPr>
      <w:r>
        <w:t>7. Batas Privasi</w:t>
      </w:r>
    </w:p>
    <w:p>
      <w:pPr>
        <w:pStyle w:val="ListBullet"/>
        <w:spacing w:after="40"/>
      </w:pPr>
      <w:r>
        <w:t>Privasi tidak berarti seluruh metadata hilang.</w:t>
      </w:r>
    </w:p>
    <w:p>
      <w:pPr>
        <w:pStyle w:val="ListBullet"/>
        <w:spacing w:after="40"/>
      </w:pPr>
      <w:r>
        <w:t>Blockchain tetap dapat memperlihatkan transaksi, contract interaction, encrypted notes, nullifiers, block time, dan metadata protokol tertentu.</w:t>
      </w:r>
    </w:p>
    <w:p>
      <w:pPr>
        <w:pStyle w:val="ListBullet"/>
        <w:spacing w:after="40"/>
      </w:pPr>
      <w:r>
        <w:t>Isi pesan dan kesepakatan diarahkan agar tidak tersimpan sebagai plaintext on-chain.</w:t>
      </w:r>
    </w:p>
    <w:p>
      <w:pPr>
        <w:pStyle w:val="ListBullet"/>
        <w:spacing w:after="40"/>
      </w:pPr>
      <w:r>
        <w:t>Indexer dan backend tidak boleh menyimpan plaintext Deal Room.</w:t>
      </w:r>
    </w:p>
    <w:p>
      <w:pPr>
        <w:pStyle w:val="ListBullet"/>
        <w:spacing w:after="40"/>
      </w:pPr>
      <w:r>
        <w:t>Dekripsi dilakukan pada perangkat pihak yang berwenang.</w:t>
      </w:r>
    </w:p>
    <w:p>
      <w:pPr>
        <w:pStyle w:val="ListBullet"/>
        <w:spacing w:after="40"/>
      </w:pPr>
      <w:r>
        <w:t>Selective disclosure dapat diperlukan oleh pengguna, auditor, partner, atau regulasi.</w:t>
      </w:r>
    </w:p>
    <w:p>
      <w:pPr>
        <w:pStyle w:val="ListBullet"/>
        <w:spacing w:after="40"/>
      </w:pPr>
      <w:r>
        <w:t>VINSS tidak melindungi pengguna yang membocorkan screenshot, private key, seed phrase, atau plaintext secara manual.</w:t>
      </w:r>
    </w:p>
    <w:p>
      <w:pPr>
        <w:pStyle w:val="Heading1"/>
      </w:pPr>
      <w:r>
        <w:t>8. Status Pengembangan</w:t>
      </w:r>
    </w:p>
    <w:p>
      <w:r>
        <w:t>VINSS masih dalam tahap pengembangan dan validasi teknis. Status berikut ditulis secara terbuka agar pengguna dan reviewer tidak salah memahami kemampuan saat ini.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Bagian</w:t>
            </w:r>
          </w:p>
        </w:tc>
        <w:tc>
          <w:tcPr>
            <w:tcW w:type="dxa" w:w="5040"/>
            <w:shd w:fill="152446"/>
            <w:tcMar>
              <w:top w:w="90" w:type="dxa"/>
              <w:start w:w="100" w:type="dxa"/>
              <w:bottom w:w="90" w:type="dxa"/>
              <w:end w:w="100" w:type="dxa"/>
            </w:tcMar>
          </w:tcPr>
          <w:p>
            <w:r>
              <w:rPr>
                <w:b/>
                <w:color w:val="FFFFFF"/>
                <w:sz w:val="17"/>
              </w:rPr>
              <w:t>Status</w:t>
            </w:r>
          </w:p>
        </w:tc>
      </w:tr>
      <w:tr>
        <w:tc>
          <w:tcPr>
            <w:tcW w:type="dxa" w:w="5040"/>
            <w:tcMar>
              <w:top w:w="90" w:type="dxa"/>
              <w:start w:w="100" w:type="dxa"/>
              <w:bottom w:w="90" w:type="dxa"/>
              <w:end w:w="100" w:type="dxa"/>
            </w:tcMar>
          </w:tcPr>
          <w:p>
            <w:r>
              <w:rPr>
                <w:sz w:val="17"/>
              </w:rPr>
              <w:t>Self-hosted transaction prover</w:t>
            </w:r>
          </w:p>
        </w:tc>
        <w:tc>
          <w:tcPr>
            <w:tcW w:type="dxa" w:w="5040"/>
            <w:tcMar>
              <w:top w:w="90" w:type="dxa"/>
              <w:start w:w="100" w:type="dxa"/>
              <w:bottom w:w="90" w:type="dxa"/>
              <w:end w:w="100" w:type="dxa"/>
            </w:tcMar>
          </w:tcPr>
          <w:p>
            <w:r>
              <w:rPr>
                <w:sz w:val="17"/>
              </w:rPr>
              <w:t>Bekerja pada pengujian teknis sebelumnya.</w:t>
            </w:r>
          </w:p>
        </w:tc>
      </w:tr>
      <w:tr>
        <w:tc>
          <w:tcPr>
            <w:tcW w:type="dxa" w:w="5040"/>
            <w:tcMar>
              <w:top w:w="90" w:type="dxa"/>
              <w:start w:w="100" w:type="dxa"/>
              <w:bottom w:w="90" w:type="dxa"/>
              <w:end w:w="100" w:type="dxa"/>
            </w:tcMar>
            <w:shd w:fill="F6F8FC"/>
          </w:tcPr>
          <w:p>
            <w:r>
              <w:rPr>
                <w:sz w:val="17"/>
              </w:rPr>
              <w:t>Private Invoke V3 dan real proof</w:t>
            </w:r>
          </w:p>
        </w:tc>
        <w:tc>
          <w:tcPr>
            <w:tcW w:type="dxa" w:w="5040"/>
            <w:tcMar>
              <w:top w:w="90" w:type="dxa"/>
              <w:start w:w="100" w:type="dxa"/>
              <w:bottom w:w="90" w:type="dxa"/>
              <w:end w:w="100" w:type="dxa"/>
            </w:tcMar>
            <w:shd w:fill="F6F8FC"/>
          </w:tcPr>
          <w:p>
            <w:r>
              <w:rPr>
                <w:sz w:val="17"/>
              </w:rPr>
              <w:t>Bekerja pada pengujian teknis sebelumnya.</w:t>
            </w:r>
          </w:p>
        </w:tc>
      </w:tr>
      <w:tr>
        <w:tc>
          <w:tcPr>
            <w:tcW w:type="dxa" w:w="5040"/>
            <w:tcMar>
              <w:top w:w="90" w:type="dxa"/>
              <w:start w:w="100" w:type="dxa"/>
              <w:bottom w:w="90" w:type="dxa"/>
              <w:end w:w="100" w:type="dxa"/>
            </w:tcMar>
          </w:tcPr>
          <w:p>
            <w:r>
              <w:rPr>
                <w:sz w:val="17"/>
              </w:rPr>
              <w:t>Official Privacy SDK baseline</w:t>
            </w:r>
          </w:p>
        </w:tc>
        <w:tc>
          <w:tcPr>
            <w:tcW w:type="dxa" w:w="5040"/>
            <w:tcMar>
              <w:top w:w="90" w:type="dxa"/>
              <w:start w:w="100" w:type="dxa"/>
              <w:bottom w:w="90" w:type="dxa"/>
              <w:end w:w="100" w:type="dxa"/>
            </w:tcMar>
          </w:tcPr>
          <w:p>
            <w:r>
              <w:rPr>
                <w:sz w:val="17"/>
              </w:rPr>
              <w:t>0.14.3-rc.2.</w:t>
            </w:r>
          </w:p>
        </w:tc>
      </w:tr>
      <w:tr>
        <w:tc>
          <w:tcPr>
            <w:tcW w:type="dxa" w:w="5040"/>
            <w:tcMar>
              <w:top w:w="90" w:type="dxa"/>
              <w:start w:w="100" w:type="dxa"/>
              <w:bottom w:w="90" w:type="dxa"/>
              <w:end w:w="100" w:type="dxa"/>
            </w:tcMar>
            <w:shd w:fill="F6F8FC"/>
          </w:tcPr>
          <w:p>
            <w:r>
              <w:rPr>
                <w:sz w:val="17"/>
              </w:rPr>
              <w:t>Pool compatibility baseline</w:t>
            </w:r>
          </w:p>
        </w:tc>
        <w:tc>
          <w:tcPr>
            <w:tcW w:type="dxa" w:w="5040"/>
            <w:tcMar>
              <w:top w:w="90" w:type="dxa"/>
              <w:start w:w="100" w:type="dxa"/>
              <w:bottom w:w="90" w:type="dxa"/>
              <w:end w:w="100" w:type="dxa"/>
            </w:tcMar>
            <w:shd w:fill="F6F8FC"/>
          </w:tcPr>
          <w:p>
            <w:r>
              <w:rPr>
                <w:sz w:val="17"/>
              </w:rPr>
              <w:t>PRIVACY-0.14.3-RC.0.</w:t>
            </w:r>
          </w:p>
        </w:tc>
      </w:tr>
      <w:tr>
        <w:tc>
          <w:tcPr>
            <w:tcW w:type="dxa" w:w="5040"/>
            <w:tcMar>
              <w:top w:w="90" w:type="dxa"/>
              <w:start w:w="100" w:type="dxa"/>
              <w:bottom w:w="90" w:type="dxa"/>
              <w:end w:w="100" w:type="dxa"/>
            </w:tcMar>
          </w:tcPr>
          <w:p>
            <w:r>
              <w:rPr>
                <w:sz w:val="17"/>
              </w:rPr>
              <w:t>Real two-party Sepolia E2E</w:t>
            </w:r>
          </w:p>
        </w:tc>
        <w:tc>
          <w:tcPr>
            <w:tcW w:type="dxa" w:w="5040"/>
            <w:tcMar>
              <w:top w:w="90" w:type="dxa"/>
              <w:start w:w="100" w:type="dxa"/>
              <w:bottom w:w="90" w:type="dxa"/>
              <w:end w:w="100" w:type="dxa"/>
            </w:tcMar>
          </w:tcPr>
          <w:p>
            <w:r>
              <w:rPr>
                <w:sz w:val="17"/>
              </w:rPr>
              <w:t>Belum terverifikasi.</w:t>
            </w:r>
          </w:p>
        </w:tc>
      </w:tr>
      <w:tr>
        <w:tc>
          <w:tcPr>
            <w:tcW w:type="dxa" w:w="5040"/>
            <w:tcMar>
              <w:top w:w="90" w:type="dxa"/>
              <w:start w:w="100" w:type="dxa"/>
              <w:bottom w:w="90" w:type="dxa"/>
              <w:end w:w="100" w:type="dxa"/>
            </w:tcMar>
            <w:shd w:fill="F6F8FC"/>
          </w:tcPr>
          <w:p>
            <w:r>
              <w:rPr>
                <w:sz w:val="17"/>
              </w:rPr>
              <w:t>Pure shielded chat</w:t>
            </w:r>
          </w:p>
        </w:tc>
        <w:tc>
          <w:tcPr>
            <w:tcW w:type="dxa" w:w="5040"/>
            <w:tcMar>
              <w:top w:w="90" w:type="dxa"/>
              <w:start w:w="100" w:type="dxa"/>
              <w:bottom w:w="90" w:type="dxa"/>
              <w:end w:w="100" w:type="dxa"/>
            </w:tcMar>
            <w:shd w:fill="F6F8FC"/>
          </w:tcPr>
          <w:p>
            <w:r>
              <w:rPr>
                <w:sz w:val="17"/>
              </w:rPr>
              <w:t>Blocked / belum terverifikasi.</w:t>
            </w:r>
          </w:p>
        </w:tc>
      </w:tr>
      <w:tr>
        <w:tc>
          <w:tcPr>
            <w:tcW w:type="dxa" w:w="5040"/>
            <w:tcMar>
              <w:top w:w="90" w:type="dxa"/>
              <w:start w:w="100" w:type="dxa"/>
              <w:bottom w:w="90" w:type="dxa"/>
              <w:end w:w="100" w:type="dxa"/>
            </w:tcMar>
          </w:tcPr>
          <w:p>
            <w:r>
              <w:rPr>
                <w:sz w:val="17"/>
              </w:rPr>
              <w:t>Shield deposit current Sepolia pool</w:t>
            </w:r>
          </w:p>
        </w:tc>
        <w:tc>
          <w:tcPr>
            <w:tcW w:type="dxa" w:w="5040"/>
            <w:tcMar>
              <w:top w:w="90" w:type="dxa"/>
              <w:start w:w="100" w:type="dxa"/>
              <w:bottom w:w="90" w:type="dxa"/>
              <w:end w:w="100" w:type="dxa"/>
            </w:tcMar>
          </w:tcPr>
          <w:p>
            <w:r>
              <w:rPr>
                <w:sz w:val="17"/>
              </w:rPr>
              <w:t>Dinonaktifkan karena pool yang digunakan masih legacy/pre-screening.</w:t>
            </w:r>
          </w:p>
        </w:tc>
      </w:tr>
      <w:tr>
        <w:tc>
          <w:tcPr>
            <w:tcW w:type="dxa" w:w="5040"/>
            <w:tcMar>
              <w:top w:w="90" w:type="dxa"/>
              <w:start w:w="100" w:type="dxa"/>
              <w:bottom w:w="90" w:type="dxa"/>
              <w:end w:w="100" w:type="dxa"/>
            </w:tcMar>
            <w:shd w:fill="F6F8FC"/>
          </w:tcPr>
          <w:p>
            <w:r>
              <w:rPr>
                <w:sz w:val="17"/>
              </w:rPr>
              <w:t>Direct encrypted helper</w:t>
            </w:r>
          </w:p>
        </w:tc>
        <w:tc>
          <w:tcPr>
            <w:tcW w:type="dxa" w:w="5040"/>
            <w:tcMar>
              <w:top w:w="90" w:type="dxa"/>
              <w:start w:w="100" w:type="dxa"/>
              <w:bottom w:w="90" w:type="dxa"/>
              <w:end w:w="100" w:type="dxa"/>
            </w:tcMar>
            <w:shd w:fill="F6F8FC"/>
          </w:tcPr>
          <w:p>
            <w:r>
              <w:rPr>
                <w:sz w:val="17"/>
              </w:rPr>
              <w:t>Legacy/fallback, bukan arsitektur produksi final.</w:t>
            </w:r>
          </w:p>
        </w:tc>
      </w:tr>
    </w:tbl>
    <w:tbl>
      <w:tblPr>
        <w:tblW w:type="auto" w:w="0"/>
        <w:jc w:val="center"/>
        <w:tblLook w:firstColumn="1" w:firstRow="1" w:lastColumn="0" w:lastRow="0" w:noHBand="0" w:noVBand="1" w:val="04A0"/>
      </w:tblPr>
      <w:tblGrid>
        <w:gridCol w:w="10080"/>
      </w:tblGrid>
      <w:tr>
        <w:tc>
          <w:tcPr>
            <w:tcW w:type="dxa" w:w="10080"/>
            <w:shd w:fill="FDECEC"/>
            <w:tcMar>
              <w:top w:w="130" w:type="dxa"/>
              <w:start w:w="170" w:type="dxa"/>
              <w:bottom w:w="130" w:type="dxa"/>
              <w:end w:w="170" w:type="dxa"/>
            </w:tcMar>
          </w:tcPr>
          <w:p>
            <w:r>
              <w:rPr>
                <w:b/>
                <w:color w:val="152446"/>
              </w:rPr>
              <w:t xml:space="preserve">Pernyataan status: </w:t>
            </w:r>
            <w:r>
              <w:rPr>
                <w:color w:val="152446"/>
              </w:rPr>
              <w:t>VINSS belum boleh disebut production-ready atau fully shielded sampai pengujian nyata dua pengguna pada jalur canonical selesai dan dapat diulang.</w:t>
            </w:r>
          </w:p>
        </w:tc>
      </w:tr>
    </w:tbl>
    <w:p>
      <w:pPr>
        <w:pStyle w:val="Heading1"/>
      </w:pPr>
      <w:r>
        <w:t>9. Model Bisnis</w:t>
      </w:r>
    </w:p>
    <w:p>
      <w:r>
        <w:t>VINSS merencanakan pendapatan dari layanan yang memberikan nilai ekonomi langsung. Harga dan pihak yang membayar masih harus diuji.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Sumber pendapatan</w:t>
            </w:r>
          </w:p>
        </w:tc>
        <w:tc>
          <w:tcPr>
            <w:tcW w:type="dxa" w:w="5040"/>
            <w:shd w:fill="152446"/>
            <w:tcMar>
              <w:top w:w="90" w:type="dxa"/>
              <w:start w:w="100" w:type="dxa"/>
              <w:bottom w:w="90" w:type="dxa"/>
              <w:end w:w="100" w:type="dxa"/>
            </w:tcMar>
          </w:tcPr>
          <w:p>
            <w:r>
              <w:rPr>
                <w:b/>
                <w:color w:val="FFFFFF"/>
                <w:sz w:val="17"/>
              </w:rPr>
              <w:t>Nilai yang dibayar</w:t>
            </w:r>
          </w:p>
        </w:tc>
      </w:tr>
      <w:tr>
        <w:tc>
          <w:tcPr>
            <w:tcW w:type="dxa" w:w="5040"/>
            <w:tcMar>
              <w:top w:w="90" w:type="dxa"/>
              <w:start w:w="100" w:type="dxa"/>
              <w:bottom w:w="90" w:type="dxa"/>
              <w:end w:w="100" w:type="dxa"/>
            </w:tcMar>
          </w:tcPr>
          <w:p>
            <w:r>
              <w:rPr>
                <w:sz w:val="17"/>
              </w:rPr>
              <w:t>Fee private payment</w:t>
            </w:r>
          </w:p>
        </w:tc>
        <w:tc>
          <w:tcPr>
            <w:tcW w:type="dxa" w:w="5040"/>
            <w:tcMar>
              <w:top w:w="90" w:type="dxa"/>
              <w:start w:w="100" w:type="dxa"/>
              <w:bottom w:w="90" w:type="dxa"/>
              <w:end w:w="100" w:type="dxa"/>
            </w:tcMar>
          </w:tcPr>
          <w:p>
            <w:r>
              <w:rPr>
                <w:sz w:val="17"/>
              </w:rPr>
              <w:t>Koordinasi pembayaran dan konteks privat.</w:t>
            </w:r>
          </w:p>
        </w:tc>
      </w:tr>
      <w:tr>
        <w:tc>
          <w:tcPr>
            <w:tcW w:type="dxa" w:w="5040"/>
            <w:tcMar>
              <w:top w:w="90" w:type="dxa"/>
              <w:start w:w="100" w:type="dxa"/>
              <w:bottom w:w="90" w:type="dxa"/>
              <w:end w:w="100" w:type="dxa"/>
            </w:tcMar>
            <w:shd w:fill="F6F8FC"/>
          </w:tcPr>
          <w:p>
            <w:r>
              <w:rPr>
                <w:sz w:val="17"/>
              </w:rPr>
              <w:t>Fee Deal Escrow</w:t>
            </w:r>
          </w:p>
        </w:tc>
        <w:tc>
          <w:tcPr>
            <w:tcW w:type="dxa" w:w="5040"/>
            <w:tcMar>
              <w:top w:w="90" w:type="dxa"/>
              <w:start w:w="100" w:type="dxa"/>
              <w:bottom w:w="90" w:type="dxa"/>
              <w:end w:w="100" w:type="dxa"/>
            </w:tcMar>
            <w:shd w:fill="F6F8FC"/>
          </w:tcPr>
          <w:p>
            <w:r>
              <w:rPr>
                <w:sz w:val="17"/>
              </w:rPr>
              <w:t>Alur transaksi dengan state dan bukti yang lebih jelas.</w:t>
            </w:r>
          </w:p>
        </w:tc>
      </w:tr>
      <w:tr>
        <w:tc>
          <w:tcPr>
            <w:tcW w:type="dxa" w:w="5040"/>
            <w:tcMar>
              <w:top w:w="90" w:type="dxa"/>
              <w:start w:w="100" w:type="dxa"/>
              <w:bottom w:w="90" w:type="dxa"/>
              <w:end w:w="100" w:type="dxa"/>
            </w:tcMar>
          </w:tcPr>
          <w:p>
            <w:r>
              <w:rPr>
                <w:sz w:val="17"/>
              </w:rPr>
              <w:t>Fee Claim Escrow</w:t>
            </w:r>
          </w:p>
        </w:tc>
        <w:tc>
          <w:tcPr>
            <w:tcW w:type="dxa" w:w="5040"/>
            <w:tcMar>
              <w:top w:w="90" w:type="dxa"/>
              <w:start w:w="100" w:type="dxa"/>
              <w:bottom w:w="90" w:type="dxa"/>
              <w:end w:w="100" w:type="dxa"/>
            </w:tcMar>
          </w:tcPr>
          <w:p>
            <w:r>
              <w:rPr>
                <w:sz w:val="17"/>
              </w:rPr>
              <w:t>Pengelolaan klaim dan bukti terstruktur.</w:t>
            </w:r>
          </w:p>
        </w:tc>
      </w:tr>
      <w:tr>
        <w:tc>
          <w:tcPr>
            <w:tcW w:type="dxa" w:w="5040"/>
            <w:tcMar>
              <w:top w:w="90" w:type="dxa"/>
              <w:start w:w="100" w:type="dxa"/>
              <w:bottom w:w="90" w:type="dxa"/>
              <w:end w:w="100" w:type="dxa"/>
            </w:tcMar>
            <w:shd w:fill="F6F8FC"/>
          </w:tcPr>
          <w:p>
            <w:r>
              <w:rPr>
                <w:sz w:val="17"/>
              </w:rPr>
              <w:t>Premium subscription</w:t>
            </w:r>
          </w:p>
        </w:tc>
        <w:tc>
          <w:tcPr>
            <w:tcW w:type="dxa" w:w="5040"/>
            <w:tcMar>
              <w:top w:w="90" w:type="dxa"/>
              <w:start w:w="100" w:type="dxa"/>
              <w:bottom w:w="90" w:type="dxa"/>
              <w:end w:w="100" w:type="dxa"/>
            </w:tcMar>
            <w:shd w:fill="F6F8FC"/>
          </w:tcPr>
          <w:p>
            <w:r>
              <w:rPr>
                <w:sz w:val="17"/>
              </w:rPr>
              <w:t>Batas room lebih tinggi, fitur bukti, dan akses lanjutan.</w:t>
            </w:r>
          </w:p>
        </w:tc>
      </w:tr>
      <w:tr>
        <w:tc>
          <w:tcPr>
            <w:tcW w:type="dxa" w:w="5040"/>
            <w:tcMar>
              <w:top w:w="90" w:type="dxa"/>
              <w:start w:w="100" w:type="dxa"/>
              <w:bottom w:w="90" w:type="dxa"/>
              <w:end w:w="100" w:type="dxa"/>
            </w:tcMar>
          </w:tcPr>
          <w:p>
            <w:r>
              <w:rPr>
                <w:sz w:val="17"/>
              </w:rPr>
              <w:t>Business/team plan</w:t>
            </w:r>
          </w:p>
        </w:tc>
        <w:tc>
          <w:tcPr>
            <w:tcW w:type="dxa" w:w="5040"/>
            <w:tcMar>
              <w:top w:w="90" w:type="dxa"/>
              <w:start w:w="100" w:type="dxa"/>
              <w:bottom w:w="90" w:type="dxa"/>
              <w:end w:w="100" w:type="dxa"/>
            </w:tcMar>
          </w:tcPr>
          <w:p>
            <w:r>
              <w:rPr>
                <w:sz w:val="17"/>
              </w:rPr>
              <w:t>Role, template, kontrol tim, laporan, dan administrasi.</w:t>
            </w:r>
          </w:p>
        </w:tc>
      </w:tr>
      <w:tr>
        <w:tc>
          <w:tcPr>
            <w:tcW w:type="dxa" w:w="5040"/>
            <w:tcMar>
              <w:top w:w="90" w:type="dxa"/>
              <w:start w:w="100" w:type="dxa"/>
              <w:bottom w:w="90" w:type="dxa"/>
              <w:end w:w="100" w:type="dxa"/>
            </w:tcMar>
            <w:shd w:fill="F6F8FC"/>
          </w:tcPr>
          <w:p>
            <w:r>
              <w:rPr>
                <w:sz w:val="17"/>
              </w:rPr>
              <w:t>API/infrastructure</w:t>
            </w:r>
          </w:p>
        </w:tc>
        <w:tc>
          <w:tcPr>
            <w:tcW w:type="dxa" w:w="5040"/>
            <w:tcMar>
              <w:top w:w="90" w:type="dxa"/>
              <w:start w:w="100" w:type="dxa"/>
              <w:bottom w:w="90" w:type="dxa"/>
              <w:end w:w="100" w:type="dxa"/>
            </w:tcMar>
            <w:shd w:fill="F6F8FC"/>
          </w:tcPr>
          <w:p>
            <w:r>
              <w:rPr>
                <w:sz w:val="17"/>
              </w:rPr>
              <w:t>Kemampuan private Deal Room untuk wallet, marketplace, dan partner.</w:t>
            </w:r>
          </w:p>
        </w:tc>
      </w:tr>
      <w:tr>
        <w:tc>
          <w:tcPr>
            <w:tcW w:type="dxa" w:w="5040"/>
            <w:tcMar>
              <w:top w:w="90" w:type="dxa"/>
              <w:start w:w="100" w:type="dxa"/>
              <w:bottom w:w="90" w:type="dxa"/>
              <w:end w:w="100" w:type="dxa"/>
            </w:tcMar>
          </w:tcPr>
          <w:p>
            <w:r>
              <w:rPr>
                <w:sz w:val="17"/>
              </w:rPr>
              <w:t>Integration/partner revenue</w:t>
            </w:r>
          </w:p>
        </w:tc>
        <w:tc>
          <w:tcPr>
            <w:tcW w:type="dxa" w:w="5040"/>
            <w:tcMar>
              <w:top w:w="90" w:type="dxa"/>
              <w:start w:w="100" w:type="dxa"/>
              <w:bottom w:w="90" w:type="dxa"/>
              <w:end w:w="100" w:type="dxa"/>
            </w:tcMar>
          </w:tcPr>
          <w:p>
            <w:r>
              <w:rPr>
                <w:sz w:val="17"/>
              </w:rPr>
              <w:t>Distribusi dan integrasi produk bersama partner.</w:t>
            </w:r>
          </w:p>
        </w:tc>
      </w:tr>
    </w:tbl>
    <w:p>
      <w:pPr>
        <w:pStyle w:val="Heading1"/>
      </w:pPr>
      <w:r>
        <w:t>10. Pengguna Awal yang Akan Diuji</w:t>
      </w:r>
    </w:p>
    <w:p>
      <w:pPr>
        <w:pStyle w:val="ListBullet"/>
        <w:spacing w:after="40"/>
      </w:pPr>
      <w:r>
        <w:t>Penyedia jasa dan freelancer on-chain.</w:t>
      </w:r>
    </w:p>
    <w:p>
      <w:pPr>
        <w:pStyle w:val="ListBullet"/>
        <w:spacing w:after="40"/>
      </w:pPr>
      <w:r>
        <w:t>Pihak OTC atau transaksi bernilai tinggi.</w:t>
      </w:r>
    </w:p>
    <w:p>
      <w:pPr>
        <w:pStyle w:val="ListBullet"/>
        <w:spacing w:after="40"/>
      </w:pPr>
      <w:r>
        <w:t>Tim crypto dan operator treasury.</w:t>
      </w:r>
    </w:p>
    <w:p>
      <w:pPr>
        <w:pStyle w:val="ListBullet"/>
        <w:spacing w:after="40"/>
      </w:pPr>
      <w:r>
        <w:t>Marketplace, wallet, dan layanan escrow yang membutuhkan private workflow.</w:t>
      </w:r>
    </w:p>
    <w:p>
      <w:r>
        <w:t>Daftar ini adalah arah customer discovery, bukan klaim bahwa seluruh segmen telah meminta VINSS.</w:t>
      </w:r>
    </w:p>
    <w:p>
      <w:pPr>
        <w:pStyle w:val="Heading1"/>
      </w:pPr>
      <w:r>
        <w:t>11. Peta Jalan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Tahap</w:t>
            </w:r>
          </w:p>
        </w:tc>
        <w:tc>
          <w:tcPr>
            <w:tcW w:type="dxa" w:w="5040"/>
            <w:shd w:fill="152446"/>
            <w:tcMar>
              <w:top w:w="90" w:type="dxa"/>
              <w:start w:w="100" w:type="dxa"/>
              <w:bottom w:w="90" w:type="dxa"/>
              <w:end w:w="100" w:type="dxa"/>
            </w:tcMar>
          </w:tcPr>
          <w:p>
            <w:r>
              <w:rPr>
                <w:b/>
                <w:color w:val="FFFFFF"/>
                <w:sz w:val="17"/>
              </w:rPr>
              <w:t>Hasil</w:t>
            </w:r>
          </w:p>
        </w:tc>
      </w:tr>
      <w:tr>
        <w:tc>
          <w:tcPr>
            <w:tcW w:type="dxa" w:w="5040"/>
            <w:tcMar>
              <w:top w:w="90" w:type="dxa"/>
              <w:start w:w="100" w:type="dxa"/>
              <w:bottom w:w="90" w:type="dxa"/>
              <w:end w:w="100" w:type="dxa"/>
            </w:tcMar>
          </w:tcPr>
          <w:p>
            <w:r>
              <w:rPr>
                <w:sz w:val="17"/>
              </w:rPr>
              <w:t>1. Canonical private core</w:t>
            </w:r>
          </w:p>
        </w:tc>
        <w:tc>
          <w:tcPr>
            <w:tcW w:type="dxa" w:w="5040"/>
            <w:tcMar>
              <w:top w:w="90" w:type="dxa"/>
              <w:start w:w="100" w:type="dxa"/>
              <w:bottom w:w="90" w:type="dxa"/>
              <w:end w:w="100" w:type="dxa"/>
            </w:tcMar>
          </w:tcPr>
          <w:p>
            <w:r>
              <w:rPr>
                <w:sz w:val="17"/>
              </w:rPr>
              <w:t>Integrasi official stack, proof, private invoke, discovery, dan dekripsi.</w:t>
            </w:r>
          </w:p>
        </w:tc>
      </w:tr>
      <w:tr>
        <w:tc>
          <w:tcPr>
            <w:tcW w:type="dxa" w:w="5040"/>
            <w:tcMar>
              <w:top w:w="90" w:type="dxa"/>
              <w:start w:w="100" w:type="dxa"/>
              <w:bottom w:w="90" w:type="dxa"/>
              <w:end w:w="100" w:type="dxa"/>
            </w:tcMar>
            <w:shd w:fill="F6F8FC"/>
          </w:tcPr>
          <w:p>
            <w:r>
              <w:rPr>
                <w:sz w:val="17"/>
              </w:rPr>
              <w:t>2. Real two-party flow</w:t>
            </w:r>
          </w:p>
        </w:tc>
        <w:tc>
          <w:tcPr>
            <w:tcW w:type="dxa" w:w="5040"/>
            <w:tcMar>
              <w:top w:w="90" w:type="dxa"/>
              <w:start w:w="100" w:type="dxa"/>
              <w:bottom w:w="90" w:type="dxa"/>
              <w:end w:w="100" w:type="dxa"/>
            </w:tcMar>
            <w:shd w:fill="F6F8FC"/>
          </w:tcPr>
          <w:p>
            <w:r>
              <w:rPr>
                <w:sz w:val="17"/>
              </w:rPr>
              <w:t>Dua pengguna nyata dapat mengirim, menemukan, dan mendekripsi tindakan private.</w:t>
            </w:r>
          </w:p>
        </w:tc>
      </w:tr>
      <w:tr>
        <w:tc>
          <w:tcPr>
            <w:tcW w:type="dxa" w:w="5040"/>
            <w:tcMar>
              <w:top w:w="90" w:type="dxa"/>
              <w:start w:w="100" w:type="dxa"/>
              <w:bottom w:w="90" w:type="dxa"/>
              <w:end w:w="100" w:type="dxa"/>
            </w:tcMar>
          </w:tcPr>
          <w:p>
            <w:r>
              <w:rPr>
                <w:sz w:val="17"/>
              </w:rPr>
              <w:t>3. Deal Room MVP</w:t>
            </w:r>
          </w:p>
        </w:tc>
        <w:tc>
          <w:tcPr>
            <w:tcW w:type="dxa" w:w="5040"/>
            <w:tcMar>
              <w:top w:w="90" w:type="dxa"/>
              <w:start w:w="100" w:type="dxa"/>
              <w:bottom w:w="90" w:type="dxa"/>
              <w:end w:w="100" w:type="dxa"/>
            </w:tcMar>
          </w:tcPr>
          <w:p>
            <w:r>
              <w:rPr>
                <w:sz w:val="17"/>
              </w:rPr>
              <w:t>Message, offer, private payment context, minimal escrow, dan evidence.</w:t>
            </w:r>
          </w:p>
        </w:tc>
      </w:tr>
      <w:tr>
        <w:tc>
          <w:tcPr>
            <w:tcW w:type="dxa" w:w="5040"/>
            <w:tcMar>
              <w:top w:w="90" w:type="dxa"/>
              <w:start w:w="100" w:type="dxa"/>
              <w:bottom w:w="90" w:type="dxa"/>
              <w:end w:w="100" w:type="dxa"/>
            </w:tcMar>
            <w:shd w:fill="F6F8FC"/>
          </w:tcPr>
          <w:p>
            <w:r>
              <w:rPr>
                <w:sz w:val="17"/>
              </w:rPr>
              <w:t>4. Pilot</w:t>
            </w:r>
          </w:p>
        </w:tc>
        <w:tc>
          <w:tcPr>
            <w:tcW w:type="dxa" w:w="5040"/>
            <w:tcMar>
              <w:top w:w="90" w:type="dxa"/>
              <w:start w:w="100" w:type="dxa"/>
              <w:bottom w:w="90" w:type="dxa"/>
              <w:end w:w="100" w:type="dxa"/>
            </w:tcMar>
            <w:shd w:fill="F6F8FC"/>
          </w:tcPr>
          <w:p>
            <w:r>
              <w:rPr>
                <w:sz w:val="17"/>
              </w:rPr>
              <w:t>Pengujian pengguna, reliability, biaya, usability, dan willingness to pay.</w:t>
            </w:r>
          </w:p>
        </w:tc>
      </w:tr>
      <w:tr>
        <w:tc>
          <w:tcPr>
            <w:tcW w:type="dxa" w:w="5040"/>
            <w:tcMar>
              <w:top w:w="90" w:type="dxa"/>
              <w:start w:w="100" w:type="dxa"/>
              <w:bottom w:w="90" w:type="dxa"/>
              <w:end w:w="100" w:type="dxa"/>
            </w:tcMar>
          </w:tcPr>
          <w:p>
            <w:r>
              <w:rPr>
                <w:sz w:val="17"/>
              </w:rPr>
              <w:t>5. Security hardening</w:t>
            </w:r>
          </w:p>
        </w:tc>
        <w:tc>
          <w:tcPr>
            <w:tcW w:type="dxa" w:w="5040"/>
            <w:tcMar>
              <w:top w:w="90" w:type="dxa"/>
              <w:start w:w="100" w:type="dxa"/>
              <w:bottom w:w="90" w:type="dxa"/>
              <w:end w:w="100" w:type="dxa"/>
            </w:tcMar>
          </w:tcPr>
          <w:p>
            <w:r>
              <w:rPr>
                <w:sz w:val="17"/>
              </w:rPr>
              <w:t>Threat model, negative test, review, audit readiness, dan monitoring.</w:t>
            </w:r>
          </w:p>
        </w:tc>
      </w:tr>
      <w:tr>
        <w:tc>
          <w:tcPr>
            <w:tcW w:type="dxa" w:w="5040"/>
            <w:tcMar>
              <w:top w:w="90" w:type="dxa"/>
              <w:start w:w="100" w:type="dxa"/>
              <w:bottom w:w="90" w:type="dxa"/>
              <w:end w:w="100" w:type="dxa"/>
            </w:tcMar>
            <w:shd w:fill="F6F8FC"/>
          </w:tcPr>
          <w:p>
            <w:r>
              <w:rPr>
                <w:sz w:val="17"/>
              </w:rPr>
              <w:t>6. Production decision</w:t>
            </w:r>
          </w:p>
        </w:tc>
        <w:tc>
          <w:tcPr>
            <w:tcW w:type="dxa" w:w="5040"/>
            <w:tcMar>
              <w:top w:w="90" w:type="dxa"/>
              <w:start w:w="100" w:type="dxa"/>
              <w:bottom w:w="90" w:type="dxa"/>
              <w:end w:w="100" w:type="dxa"/>
            </w:tcMar>
            <w:shd w:fill="F6F8FC"/>
          </w:tcPr>
          <w:p>
            <w:r>
              <w:rPr>
                <w:sz w:val="17"/>
              </w:rPr>
              <w:t>Keputusan mainnet berdasarkan bukti teknis, keamanan, biaya, dan penggunaan.</w:t>
            </w:r>
          </w:p>
        </w:tc>
      </w:tr>
    </w:tbl>
    <w:p>
      <w:pPr>
        <w:pStyle w:val="Heading1"/>
      </w:pPr>
      <w:r>
        <w:t>12. Referensi Publik</w:t>
      </w:r>
    </w:p>
    <w:p>
      <w:pPr>
        <w:ind w:left="216"/>
      </w:pPr>
      <w:r>
        <w:rPr>
          <w:b/>
          <w:sz w:val="18"/>
        </w:rPr>
        <w:t>[1] New FTC Data Show a Big Jump in Reported Losses to Fraud to $12.5 Billion in 2024</w:t>
      </w:r>
      <w:r>
        <w:rPr>
          <w:sz w:val="18"/>
        </w:rPr>
        <w:t xml:space="preserve"> — Federal Trade Commission. </w:t>
      </w:r>
      <w:r>
        <w:rPr>
          <w:color w:val="315BEA"/>
          <w:sz w:val="17"/>
        </w:rPr>
        <w:t>https://www.ftc.gov/news-events/news/press-releases/2025/03/new-ftc-data-show-big-jump-reported-losses-fraud-125-billion-2024</w:t>
      </w:r>
      <w:r>
        <w:rPr>
          <w:sz w:val="17"/>
        </w:rPr>
        <w:br/>
        <w:t>Digunakan untuk: Kerugian fraud 2024, investment scams, imposter scams, serta metode pembayaran.</w:t>
      </w:r>
    </w:p>
    <w:p>
      <w:pPr>
        <w:ind w:left="216"/>
      </w:pPr>
      <w:r>
        <w:rPr>
          <w:b/>
          <w:sz w:val="18"/>
        </w:rPr>
        <w:t>[2] FTC Data Show People Reported Losing $3.5 Billion to Imposter Scams in 2025</w:t>
      </w:r>
      <w:r>
        <w:rPr>
          <w:sz w:val="18"/>
        </w:rPr>
        <w:t xml:space="preserve"> — Federal Trade Commission. </w:t>
      </w:r>
      <w:r>
        <w:rPr>
          <w:color w:val="315BEA"/>
          <w:sz w:val="17"/>
        </w:rPr>
        <w:t>https://www.ftc.gov/news-events/news/press-releases/2026/06/ftc-data-show-people-reported-losing-3-point-5-billion-imposter-scams-2025</w:t>
      </w:r>
      <w:r>
        <w:rPr>
          <w:sz w:val="17"/>
        </w:rPr>
        <w:br/>
        <w:t>Digunakan untuk: Kerugian dan skala imposter scams pada 2025.</w:t>
      </w:r>
    </w:p>
    <w:p>
      <w:pPr>
        <w:ind w:left="216"/>
      </w:pPr>
      <w:r>
        <w:rPr>
          <w:b/>
          <w:sz w:val="18"/>
        </w:rPr>
        <w:t>[3] Reports show scammers cashing in on crypto craze</w:t>
      </w:r>
      <w:r>
        <w:rPr>
          <w:sz w:val="18"/>
        </w:rPr>
        <w:t xml:space="preserve"> — Federal Trade Commission. </w:t>
      </w:r>
      <w:r>
        <w:rPr>
          <w:color w:val="315BEA"/>
          <w:sz w:val="17"/>
        </w:rPr>
        <w:t>https://www.ftc.gov/news-events/data-visualizations/data-spotlight/2022/06/reports-show-scammers-cashing-crypto-craze</w:t>
      </w:r>
      <w:r>
        <w:rPr>
          <w:sz w:val="17"/>
        </w:rPr>
        <w:br/>
        <w:t>Digunakan untuk: Kerugian scam crypto, irreversibility, serta peran media sosial, WhatsApp, dan Telegram.</w:t>
      </w:r>
    </w:p>
    <w:p>
      <w:pPr>
        <w:ind w:left="216"/>
      </w:pPr>
      <w:r>
        <w:rPr>
          <w:b/>
          <w:sz w:val="18"/>
        </w:rPr>
        <w:t>[4] New FTC Data Show People Have Lost Billions to Social Media Scams</w:t>
      </w:r>
      <w:r>
        <w:rPr>
          <w:sz w:val="18"/>
        </w:rPr>
        <w:t xml:space="preserve"> — Federal Trade Commission. </w:t>
      </w:r>
      <w:r>
        <w:rPr>
          <w:color w:val="315BEA"/>
          <w:sz w:val="17"/>
        </w:rPr>
        <w:t>https://www.ftc.gov/news-events/news/press-releases/2026/04/new-ftc-data-show-people-have-lost-billions-social-media-scams</w:t>
      </w:r>
      <w:r>
        <w:rPr>
          <w:sz w:val="17"/>
        </w:rPr>
        <w:br/>
        <w:t>Digunakan untuk: Kerugian scam yang bermula dari media sosial pada 2025.</w:t>
      </w:r>
    </w:p>
    <w:p>
      <w:pPr>
        <w:ind w:left="216"/>
      </w:pPr>
      <w:r>
        <w:rPr>
          <w:b/>
          <w:sz w:val="18"/>
        </w:rPr>
        <w:t>[5] Privacy Is Now Live on Starknet</w:t>
      </w:r>
      <w:r>
        <w:rPr>
          <w:sz w:val="18"/>
        </w:rPr>
        <w:t xml:space="preserve"> — Starknet. </w:t>
      </w:r>
      <w:r>
        <w:rPr>
          <w:color w:val="315BEA"/>
          <w:sz w:val="17"/>
        </w:rPr>
        <w:t>https://www.starknet.io/blog/privacy-live-on-starknet/</w:t>
      </w:r>
      <w:r>
        <w:rPr>
          <w:sz w:val="17"/>
        </w:rPr>
        <w:br/>
        <w:t>Digunakan untuk: Cara kerja note-based pool, zero-knowledge proof, dan data yang terlihat/tidak terlihat.</w:t>
      </w:r>
    </w:p>
    <w:p>
      <w:pPr>
        <w:ind w:left="216"/>
      </w:pPr>
      <w:r>
        <w:rPr>
          <w:b/>
          <w:sz w:val="18"/>
        </w:rPr>
        <w:t>[6] 2026 Crypto Crime Report: Scams</w:t>
      </w:r>
      <w:r>
        <w:rPr>
          <w:sz w:val="18"/>
        </w:rPr>
        <w:t xml:space="preserve"> — Chainalysis. </w:t>
      </w:r>
      <w:r>
        <w:rPr>
          <w:color w:val="315BEA"/>
          <w:sz w:val="17"/>
        </w:rPr>
        <w:t>https://www.chainalysis.com/blog/crypto-scams-2026/</w:t>
      </w:r>
      <w:r>
        <w:rPr>
          <w:sz w:val="17"/>
        </w:rPr>
        <w:br/>
        <w:t>Digunakan untuk: Estimasi industri mengenai scam crypto 2025, impersonation, dan industrialisasi operasi scam.</w:t>
      </w:r>
    </w:p>
    <w:p>
      <w:pPr>
        <w:ind w:left="216"/>
      </w:pPr>
      <w:r>
        <w:rPr>
          <w:b/>
          <w:sz w:val="18"/>
        </w:rPr>
        <w:t>[7] STRK20 — Privacy that works for crypto</w:t>
      </w:r>
      <w:r>
        <w:rPr>
          <w:sz w:val="18"/>
        </w:rPr>
        <w:t xml:space="preserve"> — Starknet. </w:t>
      </w:r>
      <w:r>
        <w:rPr>
          <w:color w:val="315BEA"/>
          <w:sz w:val="17"/>
        </w:rPr>
        <w:t>https://strk20.starknet.io/</w:t>
      </w:r>
      <w:r>
        <w:rPr>
          <w:sz w:val="17"/>
        </w:rPr>
        <w:br/>
        <w:t>Digunakan untuk: Kemampuan resmi shielded balances, private transfers, private DeFi, wallet integration, dan compliance path.</w:t>
      </w:r>
    </w:p>
    <w:p>
      <w:pPr>
        <w:pStyle w:val="Heading1"/>
      </w:pPr>
      <w:r>
        <w:t>13. Aturan Klaim Publik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2446"/>
            <w:tcMar>
              <w:top w:w="90" w:type="dxa"/>
              <w:start w:w="100" w:type="dxa"/>
              <w:bottom w:w="90" w:type="dxa"/>
              <w:end w:w="100" w:type="dxa"/>
            </w:tcMar>
          </w:tcPr>
          <w:p>
            <w:r>
              <w:rPr>
                <w:b/>
                <w:color w:val="FFFFFF"/>
                <w:sz w:val="17"/>
              </w:rPr>
              <w:t>Boleh ditulis</w:t>
            </w:r>
          </w:p>
        </w:tc>
        <w:tc>
          <w:tcPr>
            <w:tcW w:type="dxa" w:w="5040"/>
            <w:shd w:fill="152446"/>
            <w:tcMar>
              <w:top w:w="90" w:type="dxa"/>
              <w:start w:w="100" w:type="dxa"/>
              <w:bottom w:w="90" w:type="dxa"/>
              <w:end w:w="100" w:type="dxa"/>
            </w:tcMar>
          </w:tcPr>
          <w:p>
            <w:r>
              <w:rPr>
                <w:b/>
                <w:color w:val="FFFFFF"/>
                <w:sz w:val="17"/>
              </w:rPr>
              <w:t>Tidak boleh ditulis sebelum terbukti</w:t>
            </w:r>
          </w:p>
        </w:tc>
      </w:tr>
      <w:tr>
        <w:tc>
          <w:tcPr>
            <w:tcW w:type="dxa" w:w="5040"/>
            <w:tcMar>
              <w:top w:w="90" w:type="dxa"/>
              <w:start w:w="100" w:type="dxa"/>
              <w:bottom w:w="90" w:type="dxa"/>
              <w:end w:w="100" w:type="dxa"/>
            </w:tcMar>
          </w:tcPr>
          <w:p>
            <w:r>
              <w:rPr>
                <w:sz w:val="17"/>
              </w:rPr>
              <w:t>VINSS sedang membangun private Deal Room di Starknet.</w:t>
            </w:r>
          </w:p>
        </w:tc>
        <w:tc>
          <w:tcPr>
            <w:tcW w:type="dxa" w:w="5040"/>
            <w:tcMar>
              <w:top w:w="90" w:type="dxa"/>
              <w:start w:w="100" w:type="dxa"/>
              <w:bottom w:w="90" w:type="dxa"/>
              <w:end w:w="100" w:type="dxa"/>
            </w:tcMar>
          </w:tcPr>
          <w:p>
            <w:r>
              <w:rPr>
                <w:sz w:val="17"/>
              </w:rPr>
              <w:t>VINSS sudah production-ready.</w:t>
            </w:r>
          </w:p>
        </w:tc>
      </w:tr>
      <w:tr>
        <w:tc>
          <w:tcPr>
            <w:tcW w:type="dxa" w:w="5040"/>
            <w:tcMar>
              <w:top w:w="90" w:type="dxa"/>
              <w:start w:w="100" w:type="dxa"/>
              <w:bottom w:w="90" w:type="dxa"/>
              <w:end w:w="100" w:type="dxa"/>
            </w:tcMar>
            <w:shd w:fill="F6F8FC"/>
          </w:tcPr>
          <w:p>
            <w:r>
              <w:rPr>
                <w:sz w:val="17"/>
              </w:rPr>
              <w:t>Real proof dan private Invoke V3 pernah bekerja dalam pengujian teknis.</w:t>
            </w:r>
          </w:p>
        </w:tc>
        <w:tc>
          <w:tcPr>
            <w:tcW w:type="dxa" w:w="5040"/>
            <w:tcMar>
              <w:top w:w="90" w:type="dxa"/>
              <w:start w:w="100" w:type="dxa"/>
              <w:bottom w:w="90" w:type="dxa"/>
              <w:end w:w="100" w:type="dxa"/>
            </w:tcMar>
            <w:shd w:fill="F6F8FC"/>
          </w:tcPr>
          <w:p>
            <w:r>
              <w:rPr>
                <w:sz w:val="17"/>
              </w:rPr>
              <w:t>Seluruh Deal Room sudah fully shielded.</w:t>
            </w:r>
          </w:p>
        </w:tc>
      </w:tr>
      <w:tr>
        <w:tc>
          <w:tcPr>
            <w:tcW w:type="dxa" w:w="5040"/>
            <w:tcMar>
              <w:top w:w="90" w:type="dxa"/>
              <w:start w:w="100" w:type="dxa"/>
              <w:bottom w:w="90" w:type="dxa"/>
              <w:end w:w="100" w:type="dxa"/>
            </w:tcMar>
          </w:tcPr>
          <w:p>
            <w:r>
              <w:rPr>
                <w:sz w:val="17"/>
              </w:rPr>
              <w:t>STRK20 menyembunyikan sender, receiver, amount, dan private balances pada private transfer.</w:t>
            </w:r>
          </w:p>
        </w:tc>
        <w:tc>
          <w:tcPr>
            <w:tcW w:type="dxa" w:w="5040"/>
            <w:tcMar>
              <w:top w:w="90" w:type="dxa"/>
              <w:start w:w="100" w:type="dxa"/>
              <w:bottom w:w="90" w:type="dxa"/>
              <w:end w:w="100" w:type="dxa"/>
            </w:tcMar>
          </w:tcPr>
          <w:p>
            <w:r>
              <w:rPr>
                <w:sz w:val="17"/>
              </w:rPr>
              <w:t>Tidak ada metadata apa pun yang terlihat.</w:t>
            </w:r>
          </w:p>
        </w:tc>
      </w:tr>
      <w:tr>
        <w:tc>
          <w:tcPr>
            <w:tcW w:type="dxa" w:w="5040"/>
            <w:tcMar>
              <w:top w:w="90" w:type="dxa"/>
              <w:start w:w="100" w:type="dxa"/>
              <w:bottom w:w="90" w:type="dxa"/>
              <w:end w:w="100" w:type="dxa"/>
            </w:tcMar>
            <w:shd w:fill="F6F8FC"/>
          </w:tcPr>
          <w:p>
            <w:r>
              <w:rPr>
                <w:sz w:val="17"/>
              </w:rPr>
              <w:t>Fraud, impersonation, crypto scam, dan social-media scam adalah masalah publik yang nyata.</w:t>
            </w:r>
          </w:p>
        </w:tc>
        <w:tc>
          <w:tcPr>
            <w:tcW w:type="dxa" w:w="5040"/>
            <w:tcMar>
              <w:top w:w="90" w:type="dxa"/>
              <w:start w:w="100" w:type="dxa"/>
              <w:bottom w:w="90" w:type="dxa"/>
              <w:end w:w="100" w:type="dxa"/>
            </w:tcMar>
            <w:shd w:fill="F6F8FC"/>
          </w:tcPr>
          <w:p>
            <w:r>
              <w:rPr>
                <w:sz w:val="17"/>
              </w:rPr>
              <w:t>VINSS pasti mencegah semua scam.</w:t>
            </w:r>
          </w:p>
        </w:tc>
      </w:tr>
      <w:tr>
        <w:tc>
          <w:tcPr>
            <w:tcW w:type="dxa" w:w="5040"/>
            <w:tcMar>
              <w:top w:w="90" w:type="dxa"/>
              <w:start w:w="100" w:type="dxa"/>
              <w:bottom w:w="90" w:type="dxa"/>
              <w:end w:w="100" w:type="dxa"/>
            </w:tcMar>
          </w:tcPr>
          <w:p>
            <w:r>
              <w:rPr>
                <w:sz w:val="17"/>
              </w:rPr>
              <w:t>Target pengguna masih diuji.</w:t>
            </w:r>
          </w:p>
        </w:tc>
        <w:tc>
          <w:tcPr>
            <w:tcW w:type="dxa" w:w="5040"/>
            <w:tcMar>
              <w:top w:w="90" w:type="dxa"/>
              <w:start w:w="100" w:type="dxa"/>
              <w:bottom w:w="90" w:type="dxa"/>
              <w:end w:w="100" w:type="dxa"/>
            </w:tcMar>
          </w:tcPr>
          <w:p>
            <w:r>
              <w:rPr>
                <w:sz w:val="17"/>
              </w:rPr>
              <w:t>VINSS sudah memiliki product-market fit.</w:t>
            </w:r>
          </w:p>
        </w:tc>
      </w:tr>
      <w:tr>
        <w:tc>
          <w:tcPr>
            <w:tcW w:type="dxa" w:w="5040"/>
            <w:tcMar>
              <w:top w:w="90" w:type="dxa"/>
              <w:start w:w="100" w:type="dxa"/>
              <w:bottom w:w="90" w:type="dxa"/>
              <w:end w:w="100" w:type="dxa"/>
            </w:tcMar>
            <w:shd w:fill="F6F8FC"/>
          </w:tcPr>
          <w:p>
            <w:r>
              <w:rPr>
                <w:sz w:val="17"/>
              </w:rPr>
              <w:t>Model bisnis adalah arah yang akan diuji.</w:t>
            </w:r>
          </w:p>
        </w:tc>
        <w:tc>
          <w:tcPr>
            <w:tcW w:type="dxa" w:w="5040"/>
            <w:tcMar>
              <w:top w:w="90" w:type="dxa"/>
              <w:start w:w="100" w:type="dxa"/>
              <w:bottom w:w="90" w:type="dxa"/>
              <w:end w:w="100" w:type="dxa"/>
            </w:tcMar>
            <w:shd w:fill="F6F8FC"/>
          </w:tcPr>
          <w:p>
            <w:r>
              <w:rPr>
                <w:sz w:val="17"/>
              </w:rPr>
              <w:t>Revenue sudah terbukti sebelum ada transaksi berbayar.</w:t>
            </w:r>
          </w:p>
        </w:tc>
      </w:tr>
    </w:tbl>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678"/>
        <w:sz w:val="16"/>
      </w:rPr>
      <w:t>VINSS | Dokumentasi Produk Publik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2446"/>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BEA"/>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524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4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D66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