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F9F" w:rsidRDefault="00B45F9F" w:rsidP="00B45F9F">
      <w:pPr>
        <w:shd w:val="clear" w:color="auto" w:fill="FFFFFF"/>
        <w:spacing w:after="0"/>
        <w:rPr>
          <w:color w:val="000000"/>
          <w:bdr w:val="none" w:sz="0" w:space="0" w:color="auto" w:frame="1"/>
        </w:rPr>
      </w:pPr>
    </w:p>
    <w:p w:rsidR="00B45F9F" w:rsidRDefault="00B45F9F" w:rsidP="00B45F9F">
      <w:pPr>
        <w:pStyle w:val="NormalnyWeb"/>
        <w:shd w:val="clear" w:color="auto" w:fill="FFFFFF"/>
        <w:spacing w:before="0" w:after="0"/>
        <w:ind w:left="720"/>
        <w:jc w:val="center"/>
        <w:rPr>
          <w:color w:val="242424"/>
        </w:rPr>
      </w:pPr>
      <w:r>
        <w:rPr>
          <w:color w:val="242424"/>
        </w:rPr>
        <w:t>Zagadnienia na kolokwium z Filozofii umysłu II</w:t>
      </w:r>
    </w:p>
    <w:p w:rsidR="00B45F9F" w:rsidRPr="00B45F9F" w:rsidRDefault="00B45F9F" w:rsidP="00B45F9F">
      <w:pPr>
        <w:pStyle w:val="NormalnyWeb"/>
        <w:shd w:val="clear" w:color="auto" w:fill="FFFFFF"/>
        <w:spacing w:before="0" w:after="0"/>
        <w:ind w:left="720"/>
        <w:jc w:val="center"/>
        <w:rPr>
          <w:color w:val="242424"/>
        </w:rPr>
      </w:pPr>
      <w:r>
        <w:rPr>
          <w:color w:val="242424"/>
        </w:rPr>
        <w:t>Rok akademicki: 2022/2023</w:t>
      </w:r>
    </w:p>
    <w:p w:rsidR="006D1063" w:rsidRPr="006D1063" w:rsidRDefault="00DE5465" w:rsidP="00B45F9F">
      <w:pPr>
        <w:pStyle w:val="NormalnyWeb"/>
        <w:numPr>
          <w:ilvl w:val="0"/>
          <w:numId w:val="1"/>
        </w:numPr>
        <w:shd w:val="clear" w:color="auto" w:fill="FFFFFF"/>
        <w:spacing w:before="0" w:after="0"/>
        <w:rPr>
          <w:color w:val="242424"/>
        </w:rPr>
      </w:pPr>
      <w:r>
        <w:rPr>
          <w:color w:val="000000"/>
          <w:bdr w:val="none" w:sz="0" w:space="0" w:color="auto" w:frame="1"/>
        </w:rPr>
        <w:t>K</w:t>
      </w:r>
      <w:r w:rsidR="006D1063" w:rsidRPr="006D1063">
        <w:rPr>
          <w:color w:val="000000"/>
          <w:bdr w:val="none" w:sz="0" w:space="0" w:color="auto" w:frame="1"/>
        </w:rPr>
        <w:t xml:space="preserve">rytyka </w:t>
      </w:r>
      <w:r>
        <w:rPr>
          <w:color w:val="000000"/>
          <w:bdr w:val="none" w:sz="0" w:space="0" w:color="auto" w:frame="1"/>
        </w:rPr>
        <w:t xml:space="preserve">prywatności </w:t>
      </w:r>
      <w:proofErr w:type="spellStart"/>
      <w:r>
        <w:rPr>
          <w:color w:val="000000"/>
          <w:bdr w:val="none" w:sz="0" w:space="0" w:color="auto" w:frame="1"/>
        </w:rPr>
        <w:t>qualiów</w:t>
      </w:r>
      <w:proofErr w:type="spellEnd"/>
      <w:r>
        <w:rPr>
          <w:color w:val="000000"/>
          <w:bdr w:val="none" w:sz="0" w:space="0" w:color="auto" w:frame="1"/>
        </w:rPr>
        <w:t xml:space="preserve"> w ujęciu </w:t>
      </w:r>
      <w:proofErr w:type="spellStart"/>
      <w:r>
        <w:rPr>
          <w:color w:val="000000"/>
          <w:bdr w:val="none" w:sz="0" w:space="0" w:color="auto" w:frame="1"/>
        </w:rPr>
        <w:t>Ramachandrana</w:t>
      </w:r>
      <w:proofErr w:type="spellEnd"/>
      <w:r>
        <w:rPr>
          <w:color w:val="000000"/>
          <w:bdr w:val="none" w:sz="0" w:space="0" w:color="auto" w:frame="1"/>
        </w:rPr>
        <w:t xml:space="preserve"> i </w:t>
      </w:r>
      <w:proofErr w:type="spellStart"/>
      <w:r>
        <w:rPr>
          <w:color w:val="000000"/>
          <w:bdr w:val="none" w:sz="0" w:space="0" w:color="auto" w:frame="1"/>
        </w:rPr>
        <w:t>Hirsteina</w:t>
      </w:r>
      <w:proofErr w:type="spellEnd"/>
    </w:p>
    <w:p w:rsidR="006D1063" w:rsidRPr="006D1063" w:rsidRDefault="00B45F9F" w:rsidP="006D1063">
      <w:pPr>
        <w:pStyle w:val="NormalnyWeb"/>
        <w:numPr>
          <w:ilvl w:val="0"/>
          <w:numId w:val="1"/>
        </w:numPr>
        <w:shd w:val="clear" w:color="auto" w:fill="FFFFFF"/>
        <w:spacing w:before="0" w:after="0"/>
        <w:rPr>
          <w:color w:val="242424"/>
        </w:rPr>
      </w:pPr>
      <w:r>
        <w:rPr>
          <w:color w:val="000000"/>
          <w:bdr w:val="none" w:sz="0" w:space="0" w:color="auto" w:frame="1"/>
        </w:rPr>
        <w:t>H</w:t>
      </w:r>
      <w:r w:rsidR="006D1063" w:rsidRPr="006D1063">
        <w:rPr>
          <w:color w:val="000000"/>
          <w:bdr w:val="none" w:sz="0" w:space="0" w:color="auto" w:frame="1"/>
        </w:rPr>
        <w:t>ipoteza mostu neuronowego</w:t>
      </w:r>
      <w:r w:rsidR="00DE5465">
        <w:rPr>
          <w:color w:val="000000"/>
          <w:bdr w:val="none" w:sz="0" w:space="0" w:color="auto" w:frame="1"/>
        </w:rPr>
        <w:t xml:space="preserve"> </w:t>
      </w:r>
      <w:proofErr w:type="spellStart"/>
      <w:r w:rsidR="00DE5465">
        <w:rPr>
          <w:color w:val="000000"/>
          <w:bdr w:val="none" w:sz="0" w:space="0" w:color="auto" w:frame="1"/>
        </w:rPr>
        <w:t>Ramachandrana</w:t>
      </w:r>
      <w:proofErr w:type="spellEnd"/>
      <w:r w:rsidR="00DE5465">
        <w:rPr>
          <w:color w:val="000000"/>
          <w:bdr w:val="none" w:sz="0" w:space="0" w:color="auto" w:frame="1"/>
        </w:rPr>
        <w:t xml:space="preserve"> i </w:t>
      </w:r>
      <w:proofErr w:type="spellStart"/>
      <w:r w:rsidR="00DE5465">
        <w:rPr>
          <w:color w:val="000000"/>
          <w:bdr w:val="none" w:sz="0" w:space="0" w:color="auto" w:frame="1"/>
        </w:rPr>
        <w:t>Hirsteina</w:t>
      </w:r>
      <w:proofErr w:type="spellEnd"/>
    </w:p>
    <w:p w:rsidR="006D1063" w:rsidRPr="00B45F9F" w:rsidRDefault="006D1063" w:rsidP="00B45F9F">
      <w:pPr>
        <w:pStyle w:val="NormalnyWeb"/>
        <w:numPr>
          <w:ilvl w:val="0"/>
          <w:numId w:val="1"/>
        </w:numPr>
        <w:shd w:val="clear" w:color="auto" w:fill="FFFFFF"/>
        <w:spacing w:before="0" w:after="0"/>
        <w:rPr>
          <w:color w:val="242424"/>
        </w:rPr>
      </w:pPr>
      <w:r w:rsidRPr="006D1063">
        <w:rPr>
          <w:color w:val="000000"/>
          <w:bdr w:val="none" w:sz="0" w:space="0" w:color="auto" w:frame="1"/>
        </w:rPr>
        <w:t>T</w:t>
      </w:r>
      <w:r w:rsidRPr="006D1063">
        <w:rPr>
          <w:color w:val="000000"/>
          <w:bdr w:val="none" w:sz="0" w:space="0" w:color="auto" w:frame="1"/>
        </w:rPr>
        <w:t xml:space="preserve">rzy prawa </w:t>
      </w:r>
      <w:proofErr w:type="spellStart"/>
      <w:r w:rsidRPr="006D1063">
        <w:rPr>
          <w:color w:val="000000"/>
          <w:bdr w:val="none" w:sz="0" w:space="0" w:color="auto" w:frame="1"/>
        </w:rPr>
        <w:t>qualiów</w:t>
      </w:r>
      <w:proofErr w:type="spellEnd"/>
      <w:r w:rsidRPr="006D1063">
        <w:rPr>
          <w:color w:val="000000"/>
          <w:bdr w:val="none" w:sz="0" w:space="0" w:color="auto" w:frame="1"/>
        </w:rPr>
        <w:t xml:space="preserve"> w ujęciu </w:t>
      </w:r>
      <w:proofErr w:type="spellStart"/>
      <w:r w:rsidRPr="006D1063">
        <w:rPr>
          <w:color w:val="000000"/>
          <w:bdr w:val="none" w:sz="0" w:space="0" w:color="auto" w:frame="1"/>
        </w:rPr>
        <w:t>Ramachandrana</w:t>
      </w:r>
      <w:proofErr w:type="spellEnd"/>
      <w:r w:rsidRPr="006D1063">
        <w:rPr>
          <w:color w:val="000000"/>
          <w:bdr w:val="none" w:sz="0" w:space="0" w:color="auto" w:frame="1"/>
        </w:rPr>
        <w:t xml:space="preserve"> i </w:t>
      </w:r>
      <w:proofErr w:type="spellStart"/>
      <w:r w:rsidRPr="006D1063">
        <w:rPr>
          <w:color w:val="000000"/>
          <w:bdr w:val="none" w:sz="0" w:space="0" w:color="auto" w:frame="1"/>
        </w:rPr>
        <w:t>Hirsteina</w:t>
      </w:r>
      <w:proofErr w:type="spellEnd"/>
    </w:p>
    <w:p w:rsidR="006D1063" w:rsidRPr="00B45F9F" w:rsidRDefault="006D1063" w:rsidP="00B45F9F">
      <w:pPr>
        <w:pStyle w:val="NormalnyWeb"/>
        <w:numPr>
          <w:ilvl w:val="0"/>
          <w:numId w:val="1"/>
        </w:numPr>
        <w:shd w:val="clear" w:color="auto" w:fill="FFFFFF"/>
        <w:spacing w:before="0" w:after="0"/>
        <w:rPr>
          <w:color w:val="242424"/>
        </w:rPr>
      </w:pPr>
      <w:r w:rsidRPr="006D1063">
        <w:rPr>
          <w:color w:val="000000"/>
          <w:bdr w:val="none" w:sz="0" w:space="0" w:color="auto" w:frame="1"/>
        </w:rPr>
        <w:t>N</w:t>
      </w:r>
      <w:r w:rsidRPr="006D1063">
        <w:rPr>
          <w:color w:val="000000"/>
          <w:bdr w:val="none" w:sz="0" w:space="0" w:color="auto" w:frame="1"/>
        </w:rPr>
        <w:t xml:space="preserve">eurobiologiczne podłoże </w:t>
      </w:r>
      <w:proofErr w:type="spellStart"/>
      <w:r w:rsidR="00B45F9F">
        <w:rPr>
          <w:color w:val="000000"/>
          <w:bdr w:val="none" w:sz="0" w:space="0" w:color="auto" w:frame="1"/>
        </w:rPr>
        <w:t>qualiów</w:t>
      </w:r>
      <w:proofErr w:type="spellEnd"/>
      <w:r w:rsidR="00B45F9F">
        <w:rPr>
          <w:color w:val="000000"/>
          <w:bdr w:val="none" w:sz="0" w:space="0" w:color="auto" w:frame="1"/>
        </w:rPr>
        <w:t xml:space="preserve"> zdaniem </w:t>
      </w:r>
      <w:proofErr w:type="spellStart"/>
      <w:r w:rsidR="00B45F9F">
        <w:rPr>
          <w:color w:val="000000"/>
          <w:bdr w:val="none" w:sz="0" w:space="0" w:color="auto" w:frame="1"/>
        </w:rPr>
        <w:t>Ramachandrana</w:t>
      </w:r>
      <w:proofErr w:type="spellEnd"/>
      <w:r w:rsidR="00B45F9F">
        <w:rPr>
          <w:color w:val="000000"/>
          <w:bdr w:val="none" w:sz="0" w:space="0" w:color="auto" w:frame="1"/>
        </w:rPr>
        <w:t xml:space="preserve"> i </w:t>
      </w:r>
      <w:proofErr w:type="spellStart"/>
      <w:r w:rsidR="00B45F9F">
        <w:rPr>
          <w:color w:val="000000"/>
          <w:bdr w:val="none" w:sz="0" w:space="0" w:color="auto" w:frame="1"/>
        </w:rPr>
        <w:t>Hirsteina</w:t>
      </w:r>
      <w:proofErr w:type="spellEnd"/>
    </w:p>
    <w:p w:rsidR="006D1063" w:rsidRPr="006D1063" w:rsidRDefault="006D1063" w:rsidP="00B45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Relacja między świadomością a samoświadomością</w:t>
      </w: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w ujęciu fenomenologiczny</w:t>
      </w:r>
      <w:r w:rsidR="00DE5465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m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Słaba i mocna perspektywa osobowa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Samoświadomość w ujęciach filozoficznych, psychologicznych i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neuronaukowych</w:t>
      </w:r>
      <w:proofErr w:type="spellEnd"/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Świadomość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pre</w:t>
      </w:r>
      <w:proofErr w:type="spellEnd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-refleksyjna w fenomenologii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Koncepcje świadomości wyższego rzędu i ich krytyka z perspektywy fenomenologii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Ślepowidzenie</w:t>
      </w:r>
      <w:proofErr w:type="spellEnd"/>
    </w:p>
    <w:p w:rsidR="006D1063" w:rsidRPr="00B45F9F" w:rsidRDefault="006D1063" w:rsidP="00B45F9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Świadomość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pre</w:t>
      </w:r>
      <w:proofErr w:type="spellEnd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-refleksyjna a świadomość refleksyjna</w:t>
      </w:r>
    </w:p>
    <w:p w:rsidR="006D1063" w:rsidRPr="006D1063" w:rsidRDefault="006D1063" w:rsidP="006D1063">
      <w:pPr>
        <w:pStyle w:val="NormalnyWeb"/>
        <w:numPr>
          <w:ilvl w:val="0"/>
          <w:numId w:val="1"/>
        </w:numPr>
        <w:shd w:val="clear" w:color="auto" w:fill="FFFFFF"/>
        <w:rPr>
          <w:color w:val="242424"/>
        </w:rPr>
      </w:pPr>
      <w:r>
        <w:rPr>
          <w:color w:val="242424"/>
        </w:rPr>
        <w:t xml:space="preserve">Metoda wywiadu fenomenologicznego zaproponowana przez </w:t>
      </w:r>
      <w:proofErr w:type="spellStart"/>
      <w:r>
        <w:rPr>
          <w:color w:val="242424"/>
        </w:rPr>
        <w:t>Claire</w:t>
      </w:r>
      <w:proofErr w:type="spellEnd"/>
      <w:r>
        <w:rPr>
          <w:color w:val="242424"/>
        </w:rPr>
        <w:t xml:space="preserve"> </w:t>
      </w:r>
      <w:proofErr w:type="spellStart"/>
      <w:r>
        <w:rPr>
          <w:color w:val="242424"/>
        </w:rPr>
        <w:t>Petitmengin</w:t>
      </w:r>
      <w:proofErr w:type="spellEnd"/>
      <w:r w:rsidRPr="006D1063">
        <w:rPr>
          <w:color w:val="242424"/>
        </w:rPr>
        <w:t xml:space="preserve"> (w nowszych wersjach jest to wywiad </w:t>
      </w:r>
      <w:proofErr w:type="spellStart"/>
      <w:r w:rsidRPr="006D1063">
        <w:rPr>
          <w:color w:val="242424"/>
        </w:rPr>
        <w:t>mikrofenomenologiczny</w:t>
      </w:r>
      <w:proofErr w:type="spellEnd"/>
      <w:r w:rsidRPr="006D1063">
        <w:rPr>
          <w:color w:val="242424"/>
        </w:rPr>
        <w:t xml:space="preserve">) </w:t>
      </w:r>
    </w:p>
    <w:p w:rsidR="006D1063" w:rsidRPr="006D1063" w:rsidRDefault="006D1063" w:rsidP="006D1063">
      <w:pPr>
        <w:pStyle w:val="NormalnyWeb"/>
        <w:numPr>
          <w:ilvl w:val="0"/>
          <w:numId w:val="1"/>
        </w:numPr>
        <w:shd w:val="clear" w:color="auto" w:fill="FFFFFF"/>
        <w:rPr>
          <w:color w:val="242424"/>
        </w:rPr>
      </w:pPr>
      <w:r>
        <w:rPr>
          <w:color w:val="242424"/>
        </w:rPr>
        <w:t xml:space="preserve"> T</w:t>
      </w:r>
      <w:r w:rsidRPr="006D1063">
        <w:rPr>
          <w:color w:val="242424"/>
        </w:rPr>
        <w:t xml:space="preserve">rudności z uświadomieniem sobie subiektywnego doświadczenia </w:t>
      </w:r>
    </w:p>
    <w:p w:rsidR="006D1063" w:rsidRPr="006D1063" w:rsidRDefault="006D1063" w:rsidP="006D1063">
      <w:pPr>
        <w:pStyle w:val="NormalnyWeb"/>
        <w:numPr>
          <w:ilvl w:val="0"/>
          <w:numId w:val="1"/>
        </w:numPr>
        <w:shd w:val="clear" w:color="auto" w:fill="FFFFFF"/>
        <w:rPr>
          <w:color w:val="242424"/>
        </w:rPr>
      </w:pPr>
      <w:r>
        <w:rPr>
          <w:color w:val="242424"/>
        </w:rPr>
        <w:t xml:space="preserve"> E</w:t>
      </w:r>
      <w:r w:rsidRPr="006D1063">
        <w:rPr>
          <w:color w:val="242424"/>
        </w:rPr>
        <w:t>lement</w:t>
      </w:r>
      <w:r w:rsidR="00DE5465">
        <w:rPr>
          <w:color w:val="242424"/>
        </w:rPr>
        <w:t xml:space="preserve">y procesu wywiadu w ujęciu </w:t>
      </w:r>
      <w:proofErr w:type="spellStart"/>
      <w:r w:rsidR="00DE5465">
        <w:rPr>
          <w:color w:val="242424"/>
        </w:rPr>
        <w:t>Petitmengin</w:t>
      </w:r>
      <w:proofErr w:type="spellEnd"/>
      <w:r w:rsidRPr="006D1063">
        <w:rPr>
          <w:color w:val="242424"/>
        </w:rPr>
        <w:t xml:space="preserve"> mające na celu poradzić </w:t>
      </w:r>
      <w:r>
        <w:rPr>
          <w:color w:val="242424"/>
        </w:rPr>
        <w:t>sobie z trudnościami w badaniu doświadczenia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Problem tożsamości osobowe</w:t>
      </w: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j</w:t>
      </w:r>
    </w:p>
    <w:p w:rsidR="006D1063" w:rsidRPr="006D1063" w:rsidRDefault="006D1063" w:rsidP="00DE54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Historia problemu tożsamości osobowej oraz współczesne stanowiska filozoficzne</w:t>
      </w:r>
      <w:bookmarkStart w:id="0" w:name="_GoBack"/>
      <w:bookmarkEnd w:id="0"/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Definicje i koncepcje jaźni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Tożsamość osobowości a tożsamość osoby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Filozoficzne ujęcia tożsamości osoby – ko</w:t>
      </w:r>
      <w:r w:rsidR="00B45F9F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ncepcja </w:t>
      </w:r>
      <w:proofErr w:type="spellStart"/>
      <w:r w:rsidR="00B45F9F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Locke’a</w:t>
      </w:r>
      <w:proofErr w:type="spellEnd"/>
      <w:r w:rsidR="00B45F9F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, Hume’a,</w:t>
      </w: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Parfita</w:t>
      </w:r>
      <w:proofErr w:type="spellEnd"/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Patologie tożsamości osobowej – dysocjacyjne zaburzenie osobowości</w:t>
      </w:r>
    </w:p>
    <w:p w:rsid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Tożsamość jaźni w schizofrenii</w:t>
      </w:r>
    </w:p>
    <w:p w:rsid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Percepcja w ujęciu fenomenologicznym – historia i ujęcia współczesne</w:t>
      </w:r>
    </w:p>
    <w:p w:rsidR="006366B6" w:rsidRDefault="00B45F9F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Fenomenologiczna k</w:t>
      </w:r>
      <w:r w:rsidR="006366B6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rytyka reprezentacyjnych ujęć percepcji 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Enaktywizm</w:t>
      </w:r>
      <w:proofErr w:type="spellEnd"/>
      <w:r w:rsidR="00B45F9F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i koncepcje poznania ucieleśnionego w odniesieniu do percepcji</w:t>
      </w:r>
    </w:p>
    <w:p w:rsidR="006D1063" w:rsidRPr="006D1063" w:rsidRDefault="006366B6" w:rsidP="006D1063">
      <w:pPr>
        <w:pStyle w:val="Akapitzlist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E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ksperyment z iluzją gumowej ręki i wnioski z niego wypływające</w:t>
      </w:r>
    </w:p>
    <w:p w:rsidR="006D1063" w:rsidRPr="006D1063" w:rsidRDefault="006366B6" w:rsidP="006D1063">
      <w:pPr>
        <w:pStyle w:val="Akapitzlist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D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oświadczenie eksterioryzacji - rodzaje doświadczeń, badania, podłoże neuronalne</w:t>
      </w:r>
    </w:p>
    <w:p w:rsidR="006D1063" w:rsidRPr="006D1063" w:rsidRDefault="006366B6" w:rsidP="006D1063">
      <w:pPr>
        <w:pStyle w:val="Akapitzlist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B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adania nad eksterioryzacją wirtualną</w:t>
      </w:r>
    </w:p>
    <w:p w:rsidR="006D1063" w:rsidRPr="006D1063" w:rsidRDefault="00B45F9F" w:rsidP="006D1063">
      <w:pPr>
        <w:pStyle w:val="Akapitzlist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 xml:space="preserve">Koncepcja jaźni 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w ujęciu Thomasa Metzingera</w:t>
      </w:r>
    </w:p>
    <w:p w:rsidR="006D1063" w:rsidRPr="006D1063" w:rsidRDefault="006366B6" w:rsidP="006D1063">
      <w:pPr>
        <w:pStyle w:val="Akapitzlist"/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Z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 xml:space="preserve">agadnienie kończyn fantomowych i </w:t>
      </w:r>
      <w:proofErr w:type="spellStart"/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ekspetyment</w:t>
      </w:r>
      <w:proofErr w:type="spellEnd"/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 xml:space="preserve"> </w:t>
      </w:r>
      <w:proofErr w:type="spellStart"/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Ramachandrana</w:t>
      </w:r>
      <w:proofErr w:type="spellEnd"/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 xml:space="preserve"> wskazujący na wirtualność cielesnego </w:t>
      </w:r>
      <w:proofErr w:type="spellStart"/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bdr w:val="none" w:sz="0" w:space="0" w:color="auto" w:frame="1"/>
          <w:lang w:eastAsia="pl-PL"/>
        </w:rPr>
        <w:t>automodelu</w:t>
      </w:r>
      <w:proofErr w:type="spellEnd"/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Czym jest działanie?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Działania intencjonalne a ruchy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subintencjonalne</w:t>
      </w:r>
      <w:proofErr w:type="spellEnd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i </w:t>
      </w: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preintencjonalne</w:t>
      </w:r>
      <w:proofErr w:type="spellEnd"/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Intencjonalność świadomości a intencjonalność działania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Doświadczeniowe</w:t>
      </w:r>
      <w:proofErr w:type="spellEnd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poczucie sprawstwa a atrybucja sprawstwa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proofErr w:type="spellStart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Doświadczeniowe</w:t>
      </w:r>
      <w:proofErr w:type="spellEnd"/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poczucie sprawstwa a poczucie własności ruchu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Syndrom anarchicznej ręki</w:t>
      </w:r>
    </w:p>
    <w:p w:rsidR="006D1063" w:rsidRPr="006D1063" w:rsidRDefault="006D1063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Złudzenie kontroli ruchu i myśli nasłane występujące w schizofrenii</w:t>
      </w:r>
    </w:p>
    <w:p w:rsidR="006D1063" w:rsidRPr="006D1063" w:rsidRDefault="006366B6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Eksperyment 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Libeta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dotyczący wolnej</w:t>
      </w:r>
      <w:r w:rsidR="006D1063" w:rsidRPr="006D1063"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woli</w:t>
      </w:r>
    </w:p>
    <w:p w:rsidR="006D1063" w:rsidRDefault="006366B6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Koncepcja Daniela Wegnera iluzji wolnej woli</w:t>
      </w:r>
    </w:p>
    <w:p w:rsidR="006366B6" w:rsidRDefault="006366B6" w:rsidP="006D10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Rozważania 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Gazzanigi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dotyczące wolnej woli i odpowiedzialności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Neuroprawo</w:t>
      </w:r>
      <w:proofErr w:type="spellEnd"/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Koncepcje poznania ucieleśnionego w badaniu emocji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lastRenderedPageBreak/>
        <w:t>Badania nad mechanizmami obwodowymi i ośrodkowymi w odniesieniu do emocji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Neurony lustrzane a emocje i empatia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Rola kory przedczołowej w poznaniu społecznym według 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Patricii</w:t>
      </w:r>
      <w:proofErr w:type="spellEnd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Churchland</w:t>
      </w:r>
      <w:proofErr w:type="spellEnd"/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Dyskusje wokół odkrycia neuronów lustrzanych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Definicja empatii w ujęciu Simona Barona-Cohena</w:t>
      </w:r>
    </w:p>
    <w:p w:rsidR="006366B6" w:rsidRP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Pomiar empatii (kwestionariusz Simona Barona-Cohena)</w:t>
      </w:r>
    </w:p>
    <w:p w:rsidR="006366B6" w:rsidRP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Mechanizm empatii i krzywa normalna</w:t>
      </w:r>
    </w:p>
    <w:p w:rsidR="006366B6" w:rsidRDefault="006366B6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Neuronalne podłoże empatii</w:t>
      </w:r>
    </w:p>
    <w:p w:rsidR="006366B6" w:rsidRDefault="00B45F9F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Pojawienie się estetyki </w:t>
      </w:r>
    </w:p>
    <w:p w:rsidR="00B45F9F" w:rsidRDefault="00B45F9F" w:rsidP="006366B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 xml:space="preserve">Prawa estetyki w ujęciu </w:t>
      </w:r>
      <w:proofErr w:type="spellStart"/>
      <w:r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  <w:t>Ramachandrana</w:t>
      </w:r>
      <w:proofErr w:type="spellEnd"/>
    </w:p>
    <w:p w:rsidR="006366B6" w:rsidRPr="006D1063" w:rsidRDefault="006366B6" w:rsidP="006366B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42424"/>
          <w:sz w:val="24"/>
          <w:szCs w:val="24"/>
          <w:lang w:eastAsia="pl-PL"/>
        </w:rPr>
      </w:pPr>
    </w:p>
    <w:p w:rsidR="00AA3B5B" w:rsidRPr="006D1063" w:rsidRDefault="00AA3B5B">
      <w:pPr>
        <w:rPr>
          <w:rFonts w:ascii="Times New Roman" w:hAnsi="Times New Roman" w:cs="Times New Roman"/>
          <w:sz w:val="24"/>
          <w:szCs w:val="24"/>
        </w:rPr>
      </w:pPr>
    </w:p>
    <w:sectPr w:rsidR="00AA3B5B" w:rsidRPr="006D10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">
    <w:altName w:val="Gentium Basic"/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4900058"/>
    <w:multiLevelType w:val="multilevel"/>
    <w:tmpl w:val="E07E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C222F"/>
    <w:multiLevelType w:val="multilevel"/>
    <w:tmpl w:val="5DC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577D18"/>
    <w:multiLevelType w:val="multilevel"/>
    <w:tmpl w:val="B474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063"/>
    <w:rsid w:val="006366B6"/>
    <w:rsid w:val="006D1063"/>
    <w:rsid w:val="00AA3B5B"/>
    <w:rsid w:val="00B45F9F"/>
    <w:rsid w:val="00D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82FE55-75E7-41BA-B1DC-0ADF7C17F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6D1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6D10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415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2023-05-29T15:26:00Z</dcterms:created>
  <dcterms:modified xsi:type="dcterms:W3CDTF">2023-05-29T15:58:00Z</dcterms:modified>
</cp:coreProperties>
</file>