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42A6D" w14:textId="77777777" w:rsidR="005D246C" w:rsidRDefault="005D246C" w:rsidP="005D246C">
      <w:pPr>
        <w:spacing w:line="240" w:lineRule="auto"/>
        <w:jc w:val="center"/>
        <w:rPr>
          <w:rFonts w:ascii="Times New Roman" w:eastAsia="Times New Roman" w:hAnsi="Times New Roman"/>
          <w:color w:val="000000"/>
          <w:sz w:val="24"/>
          <w:szCs w:val="24"/>
          <w:lang w:eastAsia="ru-RU"/>
        </w:rPr>
      </w:pPr>
      <w:r>
        <w:rPr>
          <w:rFonts w:ascii="Times New Roman" w:eastAsia="Times New Roman" w:hAnsi="Times New Roman"/>
          <w:color w:val="000000"/>
          <w:sz w:val="28"/>
          <w:szCs w:val="28"/>
          <w:lang w:eastAsia="ru-RU"/>
        </w:rPr>
        <w:t>МИНИСТЕРСТВО ЦИФРОВОГО РАЗВИТИЯ</w:t>
      </w:r>
    </w:p>
    <w:p w14:paraId="6A9C8F08" w14:textId="77777777" w:rsidR="005D246C" w:rsidRDefault="005D246C" w:rsidP="005D246C">
      <w:pPr>
        <w:pBdr>
          <w:bottom w:val="single" w:sz="12" w:space="1" w:color="000000"/>
        </w:pBdr>
        <w:spacing w:line="240" w:lineRule="auto"/>
        <w:jc w:val="center"/>
        <w:rPr>
          <w:rFonts w:ascii="Times New Roman" w:eastAsia="Times New Roman" w:hAnsi="Times New Roman"/>
          <w:color w:val="000000"/>
          <w:sz w:val="24"/>
          <w:szCs w:val="24"/>
          <w:lang w:eastAsia="ru-RU"/>
        </w:rPr>
      </w:pPr>
      <w:r>
        <w:rPr>
          <w:rFonts w:ascii="Times New Roman" w:eastAsia="Times New Roman" w:hAnsi="Times New Roman"/>
          <w:color w:val="000000"/>
          <w:sz w:val="28"/>
          <w:szCs w:val="28"/>
          <w:lang w:eastAsia="ru-RU"/>
        </w:rPr>
        <w:t>СВЯЗИ И МАССОВЫХ КОММУНИКАЦИЙ РОССИЙСКОЙ ФЕДЕРАЦИИ Ордена Трудового Красного Знамени федеральное государственное бюджетное образовательное учреждение высшего образования «Московский технический университет связи и информатики»</w:t>
      </w:r>
    </w:p>
    <w:p w14:paraId="1328146E" w14:textId="77777777" w:rsidR="005D246C" w:rsidRDefault="005D246C" w:rsidP="005D246C">
      <w:pPr>
        <w:shd w:val="clear" w:color="auto" w:fill="FFFFFF"/>
        <w:spacing w:after="0" w:line="240" w:lineRule="auto"/>
        <w:rPr>
          <w:rFonts w:ascii="Times New Roman" w:eastAsia="Times New Roman" w:hAnsi="Times New Roman"/>
          <w:color w:val="000000"/>
          <w:sz w:val="24"/>
          <w:szCs w:val="24"/>
          <w:lang w:eastAsia="ru-RU"/>
        </w:rPr>
      </w:pPr>
    </w:p>
    <w:p w14:paraId="03A4705E" w14:textId="77777777" w:rsidR="005D246C" w:rsidRDefault="005D246C" w:rsidP="005D246C">
      <w:pPr>
        <w:shd w:val="clear" w:color="auto" w:fill="FFFFFF"/>
        <w:spacing w:after="0" w:line="240" w:lineRule="auto"/>
        <w:rPr>
          <w:rFonts w:ascii="Times New Roman" w:eastAsia="Times New Roman" w:hAnsi="Times New Roman"/>
          <w:color w:val="000000"/>
          <w:sz w:val="24"/>
          <w:szCs w:val="24"/>
          <w:lang w:eastAsia="ru-RU"/>
        </w:rPr>
      </w:pPr>
    </w:p>
    <w:p w14:paraId="567786A9" w14:textId="77777777" w:rsidR="005D246C" w:rsidRDefault="005D246C" w:rsidP="005D246C">
      <w:pPr>
        <w:shd w:val="clear" w:color="auto" w:fill="FFFFFF"/>
        <w:spacing w:after="0" w:line="240" w:lineRule="auto"/>
        <w:rPr>
          <w:rFonts w:ascii="Times New Roman" w:eastAsia="Times New Roman" w:hAnsi="Times New Roman"/>
          <w:color w:val="000000"/>
          <w:sz w:val="24"/>
          <w:szCs w:val="24"/>
          <w:lang w:eastAsia="ru-RU"/>
        </w:rPr>
      </w:pPr>
    </w:p>
    <w:p w14:paraId="4275EA4B" w14:textId="77777777" w:rsidR="005D246C" w:rsidRDefault="005D246C" w:rsidP="005D246C">
      <w:pPr>
        <w:shd w:val="clear" w:color="auto" w:fill="FFFFFF"/>
        <w:spacing w:after="0" w:line="240" w:lineRule="auto"/>
        <w:rPr>
          <w:rFonts w:ascii="Times New Roman" w:eastAsia="Times New Roman" w:hAnsi="Times New Roman"/>
          <w:color w:val="000000"/>
          <w:sz w:val="24"/>
          <w:szCs w:val="24"/>
          <w:lang w:eastAsia="ru-RU"/>
        </w:rPr>
      </w:pPr>
    </w:p>
    <w:p w14:paraId="40AA2479" w14:textId="77777777" w:rsidR="005D246C" w:rsidRDefault="005D246C" w:rsidP="005D246C">
      <w:pPr>
        <w:shd w:val="clear" w:color="auto" w:fill="FFFFFF"/>
        <w:spacing w:after="0" w:line="240" w:lineRule="auto"/>
        <w:rPr>
          <w:rFonts w:ascii="Times New Roman" w:eastAsia="Times New Roman" w:hAnsi="Times New Roman"/>
          <w:color w:val="000000"/>
          <w:sz w:val="24"/>
          <w:szCs w:val="24"/>
          <w:lang w:eastAsia="ru-RU"/>
        </w:rPr>
      </w:pPr>
    </w:p>
    <w:p w14:paraId="5A461F01" w14:textId="77777777" w:rsidR="005D246C" w:rsidRDefault="005D246C" w:rsidP="005D246C">
      <w:pPr>
        <w:shd w:val="clear" w:color="auto" w:fill="FFFFFF"/>
        <w:spacing w:after="0" w:line="240" w:lineRule="auto"/>
        <w:rPr>
          <w:rFonts w:ascii="Times New Roman" w:eastAsia="Times New Roman" w:hAnsi="Times New Roman"/>
          <w:color w:val="000000"/>
          <w:sz w:val="24"/>
          <w:szCs w:val="24"/>
          <w:lang w:eastAsia="ru-RU"/>
        </w:rPr>
      </w:pPr>
    </w:p>
    <w:p w14:paraId="4F205C87" w14:textId="77777777" w:rsidR="005D246C" w:rsidRDefault="005D246C" w:rsidP="005D246C">
      <w:pPr>
        <w:shd w:val="clear" w:color="auto" w:fill="FFFFFF"/>
        <w:spacing w:after="0" w:line="240" w:lineRule="auto"/>
        <w:rPr>
          <w:rFonts w:ascii="Times New Roman" w:eastAsia="Times New Roman" w:hAnsi="Times New Roman"/>
          <w:color w:val="000000"/>
          <w:sz w:val="24"/>
          <w:szCs w:val="24"/>
          <w:lang w:eastAsia="ru-RU"/>
        </w:rPr>
      </w:pPr>
    </w:p>
    <w:p w14:paraId="278A87DA" w14:textId="77777777" w:rsidR="005D246C" w:rsidRPr="00AA1D34" w:rsidRDefault="005D246C" w:rsidP="005D246C">
      <w:pPr>
        <w:shd w:val="clear" w:color="auto" w:fill="FFFFFF"/>
        <w:spacing w:after="0" w:line="240" w:lineRule="auto"/>
        <w:rPr>
          <w:rFonts w:ascii="Times New Roman" w:eastAsia="Times New Roman" w:hAnsi="Times New Roman"/>
          <w:color w:val="000000"/>
          <w:sz w:val="24"/>
          <w:szCs w:val="24"/>
          <w:lang w:eastAsia="ru-RU"/>
        </w:rPr>
      </w:pPr>
    </w:p>
    <w:p w14:paraId="46C77CF9" w14:textId="77777777" w:rsidR="005D246C" w:rsidRPr="00AA1D34" w:rsidRDefault="005D246C" w:rsidP="005D246C">
      <w:pPr>
        <w:shd w:val="clear" w:color="auto" w:fill="FFFFFF"/>
        <w:spacing w:after="0" w:line="240" w:lineRule="auto"/>
        <w:rPr>
          <w:rFonts w:ascii="Times New Roman" w:eastAsia="Times New Roman" w:hAnsi="Times New Roman"/>
          <w:color w:val="000000"/>
          <w:sz w:val="24"/>
          <w:szCs w:val="24"/>
          <w:lang w:eastAsia="ru-RU"/>
        </w:rPr>
      </w:pPr>
    </w:p>
    <w:p w14:paraId="088A83C0" w14:textId="77777777" w:rsidR="005D246C" w:rsidRDefault="005D246C" w:rsidP="005D246C">
      <w:pPr>
        <w:spacing w:line="240" w:lineRule="auto"/>
        <w:jc w:val="center"/>
        <w:rPr>
          <w:rFonts w:ascii="Times New Roman" w:eastAsia="Times New Roman" w:hAnsi="Times New Roman"/>
          <w:color w:val="000000"/>
          <w:sz w:val="24"/>
          <w:szCs w:val="24"/>
          <w:lang w:eastAsia="ru-RU"/>
        </w:rPr>
      </w:pPr>
      <w:r>
        <w:rPr>
          <w:rFonts w:ascii="Times New Roman" w:eastAsia="Times New Roman" w:hAnsi="Times New Roman"/>
          <w:bCs/>
          <w:color w:val="000000"/>
          <w:sz w:val="28"/>
          <w:szCs w:val="28"/>
          <w:lang w:eastAsia="ru-RU"/>
        </w:rPr>
        <w:t>Реферат на тему:</w:t>
      </w:r>
    </w:p>
    <w:p w14:paraId="44ED1027" w14:textId="233F209F" w:rsidR="005D246C" w:rsidRDefault="005D246C" w:rsidP="005D246C">
      <w:pPr>
        <w:spacing w:line="240" w:lineRule="auto"/>
        <w:jc w:val="center"/>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«ВАЛЮТНЫЕ РИСКИ</w:t>
      </w:r>
      <w:r w:rsidRPr="005D246C">
        <w:rPr>
          <w:rFonts w:ascii="Times New Roman" w:eastAsia="Times New Roman" w:hAnsi="Times New Roman"/>
          <w:color w:val="000000"/>
          <w:sz w:val="28"/>
          <w:szCs w:val="28"/>
          <w:lang w:eastAsia="ru-RU"/>
        </w:rPr>
        <w:t xml:space="preserve">: </w:t>
      </w:r>
      <w:r>
        <w:rPr>
          <w:rFonts w:ascii="Times New Roman" w:eastAsia="Times New Roman" w:hAnsi="Times New Roman"/>
          <w:color w:val="000000"/>
          <w:sz w:val="28"/>
          <w:szCs w:val="28"/>
          <w:lang w:eastAsia="ru-RU"/>
        </w:rPr>
        <w:t>ПОНЯТИЯ</w:t>
      </w:r>
      <w:r w:rsidRPr="005D246C">
        <w:rPr>
          <w:rFonts w:ascii="Times New Roman" w:eastAsia="Times New Roman" w:hAnsi="Times New Roman"/>
          <w:color w:val="000000"/>
          <w:sz w:val="28"/>
          <w:szCs w:val="28"/>
          <w:lang w:eastAsia="ru-RU"/>
        </w:rPr>
        <w:t xml:space="preserve">, </w:t>
      </w:r>
      <w:r>
        <w:rPr>
          <w:rFonts w:ascii="Times New Roman" w:eastAsia="Times New Roman" w:hAnsi="Times New Roman"/>
          <w:color w:val="000000"/>
          <w:sz w:val="28"/>
          <w:szCs w:val="28"/>
          <w:lang w:eastAsia="ru-RU"/>
        </w:rPr>
        <w:t>ВИДЫ</w:t>
      </w:r>
      <w:r w:rsidRPr="005D246C">
        <w:rPr>
          <w:rFonts w:ascii="Times New Roman" w:eastAsia="Times New Roman" w:hAnsi="Times New Roman"/>
          <w:color w:val="000000"/>
          <w:sz w:val="28"/>
          <w:szCs w:val="28"/>
          <w:lang w:eastAsia="ru-RU"/>
        </w:rPr>
        <w:t xml:space="preserve">, </w:t>
      </w:r>
      <w:r>
        <w:rPr>
          <w:rFonts w:ascii="Times New Roman" w:eastAsia="Times New Roman" w:hAnsi="Times New Roman"/>
          <w:color w:val="000000"/>
          <w:sz w:val="28"/>
          <w:szCs w:val="28"/>
          <w:lang w:eastAsia="ru-RU"/>
        </w:rPr>
        <w:t>ИСТОРИЧЕСКИЕ КЕЙСЫ»</w:t>
      </w:r>
    </w:p>
    <w:p w14:paraId="559172DF" w14:textId="77777777" w:rsidR="005D246C" w:rsidRDefault="005D246C" w:rsidP="005D246C">
      <w:pPr>
        <w:spacing w:line="240" w:lineRule="auto"/>
        <w:jc w:val="center"/>
        <w:rPr>
          <w:rFonts w:ascii="Times New Roman" w:eastAsia="Times New Roman" w:hAnsi="Times New Roman"/>
          <w:bCs/>
          <w:color w:val="000000"/>
          <w:sz w:val="28"/>
          <w:szCs w:val="28"/>
          <w:lang w:eastAsia="ru-RU"/>
        </w:rPr>
      </w:pPr>
    </w:p>
    <w:p w14:paraId="47F0B286" w14:textId="77777777" w:rsidR="005D246C" w:rsidRDefault="005D246C" w:rsidP="005D246C">
      <w:pPr>
        <w:spacing w:line="240" w:lineRule="auto"/>
        <w:jc w:val="center"/>
        <w:rPr>
          <w:rFonts w:ascii="Times New Roman" w:eastAsia="Times New Roman" w:hAnsi="Times New Roman"/>
          <w:bCs/>
          <w:color w:val="000000"/>
          <w:sz w:val="28"/>
          <w:szCs w:val="28"/>
          <w:lang w:eastAsia="ru-RU"/>
        </w:rPr>
      </w:pPr>
    </w:p>
    <w:p w14:paraId="77FD8C87" w14:textId="77777777" w:rsidR="005D246C" w:rsidRDefault="005D246C" w:rsidP="005D246C">
      <w:pPr>
        <w:spacing w:line="240" w:lineRule="auto"/>
        <w:jc w:val="center"/>
        <w:rPr>
          <w:rFonts w:ascii="Times New Roman" w:eastAsia="Times New Roman" w:hAnsi="Times New Roman"/>
          <w:bCs/>
          <w:color w:val="000000"/>
          <w:sz w:val="28"/>
          <w:szCs w:val="28"/>
          <w:lang w:eastAsia="ru-RU"/>
        </w:rPr>
      </w:pPr>
    </w:p>
    <w:p w14:paraId="0B4FF86E" w14:textId="77777777" w:rsidR="005D246C" w:rsidRDefault="005D246C" w:rsidP="005D246C">
      <w:pPr>
        <w:spacing w:line="240" w:lineRule="auto"/>
        <w:jc w:val="center"/>
        <w:rPr>
          <w:rFonts w:ascii="Times New Roman" w:eastAsia="Times New Roman" w:hAnsi="Times New Roman"/>
          <w:bCs/>
          <w:color w:val="000000"/>
          <w:sz w:val="28"/>
          <w:szCs w:val="28"/>
          <w:lang w:eastAsia="ru-RU"/>
        </w:rPr>
      </w:pPr>
    </w:p>
    <w:p w14:paraId="77151165" w14:textId="77777777" w:rsidR="005D246C" w:rsidRDefault="005D246C" w:rsidP="005D246C">
      <w:pPr>
        <w:spacing w:line="240" w:lineRule="auto"/>
        <w:jc w:val="center"/>
        <w:rPr>
          <w:rFonts w:ascii="Times New Roman" w:eastAsia="Times New Roman" w:hAnsi="Times New Roman"/>
          <w:bCs/>
          <w:color w:val="000000"/>
          <w:sz w:val="28"/>
          <w:szCs w:val="28"/>
          <w:lang w:eastAsia="ru-RU"/>
        </w:rPr>
      </w:pPr>
    </w:p>
    <w:p w14:paraId="59D9208F" w14:textId="77777777" w:rsidR="005D246C" w:rsidRDefault="005D246C" w:rsidP="005D246C">
      <w:pPr>
        <w:spacing w:line="240" w:lineRule="auto"/>
        <w:jc w:val="center"/>
        <w:rPr>
          <w:rFonts w:ascii="Times New Roman" w:eastAsia="Times New Roman" w:hAnsi="Times New Roman"/>
          <w:bCs/>
          <w:color w:val="000000"/>
          <w:sz w:val="28"/>
          <w:szCs w:val="28"/>
          <w:lang w:eastAsia="ru-RU"/>
        </w:rPr>
      </w:pPr>
    </w:p>
    <w:p w14:paraId="55050CAE" w14:textId="77777777" w:rsidR="005D246C" w:rsidRDefault="005D246C" w:rsidP="005D246C">
      <w:pPr>
        <w:spacing w:line="240" w:lineRule="auto"/>
        <w:jc w:val="center"/>
        <w:rPr>
          <w:rFonts w:ascii="Times New Roman" w:eastAsia="Times New Roman" w:hAnsi="Times New Roman"/>
          <w:color w:val="000000"/>
          <w:sz w:val="24"/>
          <w:szCs w:val="24"/>
          <w:lang w:eastAsia="ru-RU"/>
        </w:rPr>
      </w:pPr>
    </w:p>
    <w:p w14:paraId="3DC44FF2" w14:textId="30EAC24F" w:rsidR="005D246C" w:rsidRDefault="005D246C" w:rsidP="005D246C">
      <w:pPr>
        <w:spacing w:line="240" w:lineRule="auto"/>
        <w:jc w:val="right"/>
        <w:rPr>
          <w:rFonts w:ascii="Times New Roman" w:eastAsia="Times New Roman" w:hAnsi="Times New Roman"/>
          <w:color w:val="000000"/>
          <w:sz w:val="24"/>
          <w:szCs w:val="24"/>
          <w:lang w:eastAsia="ru-RU"/>
        </w:rPr>
      </w:pPr>
      <w:r>
        <w:rPr>
          <w:rFonts w:ascii="Times New Roman" w:eastAsia="Times New Roman" w:hAnsi="Times New Roman"/>
          <w:color w:val="000000"/>
          <w:sz w:val="28"/>
          <w:szCs w:val="28"/>
          <w:u w:val="single"/>
          <w:lang w:eastAsia="ru-RU"/>
        </w:rPr>
        <w:t>Выполнил студент группы БПИ2503:</w:t>
      </w:r>
    </w:p>
    <w:p w14:paraId="6538A382" w14:textId="020F5176" w:rsidR="005D246C" w:rsidRDefault="005D246C" w:rsidP="005D246C">
      <w:pPr>
        <w:spacing w:after="0" w:line="240" w:lineRule="auto"/>
        <w:ind w:left="720"/>
        <w:jc w:val="right"/>
        <w:rPr>
          <w:rFonts w:ascii="Times New Roman" w:eastAsia="Times New Roman" w:hAnsi="Times New Roman"/>
          <w:color w:val="000000"/>
          <w:sz w:val="24"/>
          <w:szCs w:val="24"/>
          <w:lang w:eastAsia="ru-RU"/>
        </w:rPr>
      </w:pPr>
      <w:r>
        <w:rPr>
          <w:rFonts w:ascii="Times New Roman" w:eastAsia="Times New Roman" w:hAnsi="Times New Roman"/>
          <w:color w:val="000000"/>
          <w:sz w:val="28"/>
          <w:szCs w:val="28"/>
          <w:lang w:eastAsia="ru-RU"/>
        </w:rPr>
        <w:t>Яричевский Даниил Олегович</w:t>
      </w:r>
    </w:p>
    <w:p w14:paraId="48E59342" w14:textId="77777777" w:rsidR="005D246C" w:rsidRDefault="005D246C" w:rsidP="005D246C">
      <w:pPr>
        <w:spacing w:after="0" w:line="240" w:lineRule="auto"/>
        <w:rPr>
          <w:rFonts w:ascii="Times New Roman" w:eastAsia="Times New Roman" w:hAnsi="Times New Roman"/>
          <w:color w:val="000000"/>
          <w:sz w:val="24"/>
          <w:szCs w:val="24"/>
          <w:lang w:eastAsia="ru-RU"/>
        </w:rPr>
      </w:pPr>
    </w:p>
    <w:p w14:paraId="2A4F2D6F" w14:textId="77777777" w:rsidR="005D246C" w:rsidRDefault="005D246C" w:rsidP="005D246C">
      <w:pPr>
        <w:spacing w:line="240" w:lineRule="auto"/>
        <w:jc w:val="right"/>
        <w:rPr>
          <w:rFonts w:ascii="Times New Roman" w:eastAsia="Times New Roman" w:hAnsi="Times New Roman"/>
          <w:color w:val="000000"/>
          <w:sz w:val="28"/>
          <w:szCs w:val="28"/>
          <w:u w:val="single"/>
          <w:lang w:eastAsia="ru-RU"/>
        </w:rPr>
      </w:pPr>
      <w:r>
        <w:rPr>
          <w:rFonts w:ascii="Times New Roman" w:eastAsia="Times New Roman" w:hAnsi="Times New Roman"/>
          <w:color w:val="000000"/>
          <w:sz w:val="28"/>
          <w:szCs w:val="28"/>
          <w:u w:val="single"/>
          <w:lang w:eastAsia="ru-RU"/>
        </w:rPr>
        <w:t xml:space="preserve">Проверила: </w:t>
      </w:r>
    </w:p>
    <w:p w14:paraId="3A8EC8BA" w14:textId="77777777" w:rsidR="005D246C" w:rsidRDefault="005D246C" w:rsidP="005D246C">
      <w:pPr>
        <w:spacing w:line="240" w:lineRule="auto"/>
        <w:jc w:val="right"/>
        <w:rPr>
          <w:rFonts w:ascii="Times New Roman" w:eastAsia="Times New Roman" w:hAnsi="Times New Roman"/>
          <w:color w:val="000000"/>
          <w:sz w:val="24"/>
          <w:szCs w:val="24"/>
          <w:lang w:eastAsia="ru-RU"/>
        </w:rPr>
      </w:pPr>
      <w:r>
        <w:rPr>
          <w:rFonts w:ascii="Times New Roman" w:eastAsia="Times New Roman" w:hAnsi="Times New Roman"/>
          <w:color w:val="000000"/>
          <w:sz w:val="28"/>
          <w:szCs w:val="28"/>
          <w:lang w:eastAsia="ru-RU"/>
        </w:rPr>
        <w:t xml:space="preserve"> </w:t>
      </w:r>
      <w:proofErr w:type="spellStart"/>
      <w:r>
        <w:rPr>
          <w:rFonts w:ascii="Times New Roman" w:eastAsia="Times New Roman" w:hAnsi="Times New Roman"/>
          <w:color w:val="000000"/>
          <w:sz w:val="28"/>
          <w:szCs w:val="28"/>
          <w:lang w:eastAsia="ru-RU"/>
        </w:rPr>
        <w:t>Вандина</w:t>
      </w:r>
      <w:proofErr w:type="spellEnd"/>
      <w:r>
        <w:rPr>
          <w:rFonts w:ascii="Times New Roman" w:eastAsia="Times New Roman" w:hAnsi="Times New Roman"/>
          <w:color w:val="000000"/>
          <w:sz w:val="28"/>
          <w:szCs w:val="28"/>
          <w:lang w:eastAsia="ru-RU"/>
        </w:rPr>
        <w:t xml:space="preserve"> Ольга Георгиевна</w:t>
      </w:r>
    </w:p>
    <w:p w14:paraId="12B75367" w14:textId="77777777" w:rsidR="005D246C" w:rsidRDefault="005D246C" w:rsidP="005D246C">
      <w:pPr>
        <w:spacing w:after="240" w:line="240" w:lineRule="auto"/>
        <w:rPr>
          <w:rFonts w:ascii="Times New Roman" w:eastAsia="Times New Roman" w:hAnsi="Times New Roman"/>
          <w:color w:val="000000"/>
          <w:sz w:val="24"/>
          <w:szCs w:val="24"/>
          <w:lang w:eastAsia="ru-RU"/>
        </w:rPr>
      </w:pPr>
    </w:p>
    <w:p w14:paraId="1E074301" w14:textId="77777777" w:rsidR="005D246C" w:rsidRPr="00AA1D34" w:rsidRDefault="005D246C" w:rsidP="005D246C">
      <w:pPr>
        <w:spacing w:after="240" w:line="240" w:lineRule="auto"/>
        <w:rPr>
          <w:rFonts w:ascii="Times New Roman" w:eastAsia="Times New Roman" w:hAnsi="Times New Roman"/>
          <w:color w:val="000000"/>
          <w:sz w:val="24"/>
          <w:szCs w:val="24"/>
          <w:lang w:eastAsia="ru-RU"/>
        </w:rPr>
      </w:pPr>
    </w:p>
    <w:p w14:paraId="4ABCDEA9" w14:textId="77777777" w:rsidR="005D246C" w:rsidRPr="00AA1D34" w:rsidRDefault="005D246C" w:rsidP="005D246C">
      <w:pPr>
        <w:spacing w:after="240" w:line="240" w:lineRule="auto"/>
        <w:rPr>
          <w:rFonts w:ascii="Times New Roman" w:eastAsia="Times New Roman" w:hAnsi="Times New Roman"/>
          <w:color w:val="000000"/>
          <w:sz w:val="24"/>
          <w:szCs w:val="24"/>
          <w:lang w:eastAsia="ru-RU"/>
        </w:rPr>
      </w:pPr>
    </w:p>
    <w:p w14:paraId="7B31AA00" w14:textId="77777777" w:rsidR="005D246C" w:rsidRPr="00AA1D34" w:rsidRDefault="005D246C" w:rsidP="005D246C">
      <w:pPr>
        <w:spacing w:after="240" w:line="240" w:lineRule="auto"/>
        <w:rPr>
          <w:rFonts w:ascii="Times New Roman" w:eastAsia="Times New Roman" w:hAnsi="Times New Roman"/>
          <w:color w:val="000000"/>
          <w:sz w:val="24"/>
          <w:szCs w:val="24"/>
          <w:lang w:eastAsia="ru-RU"/>
        </w:rPr>
      </w:pPr>
    </w:p>
    <w:p w14:paraId="17A233C4" w14:textId="77777777" w:rsidR="005D246C" w:rsidRDefault="005D246C" w:rsidP="005D246C">
      <w:pPr>
        <w:spacing w:after="240" w:line="240" w:lineRule="auto"/>
        <w:rPr>
          <w:rFonts w:ascii="Times New Roman" w:eastAsia="Times New Roman" w:hAnsi="Times New Roman"/>
          <w:color w:val="000000"/>
          <w:sz w:val="24"/>
          <w:szCs w:val="24"/>
          <w:lang w:eastAsia="ru-RU"/>
        </w:rPr>
      </w:pPr>
    </w:p>
    <w:p w14:paraId="44A894BC" w14:textId="20B4D3C4" w:rsidR="005D246C" w:rsidRDefault="005D246C" w:rsidP="005D246C">
      <w:pPr>
        <w:spacing w:line="240" w:lineRule="auto"/>
        <w:jc w:val="center"/>
        <w:rPr>
          <w:rFonts w:ascii="Times New Roman" w:eastAsia="Times New Roman" w:hAnsi="Times New Roman"/>
          <w:color w:val="000000"/>
          <w:sz w:val="24"/>
          <w:szCs w:val="24"/>
          <w:lang w:eastAsia="ru-RU"/>
        </w:rPr>
      </w:pPr>
      <w:r>
        <w:rPr>
          <w:rFonts w:ascii="Times New Roman" w:eastAsia="Times New Roman" w:hAnsi="Times New Roman"/>
          <w:color w:val="000000"/>
          <w:sz w:val="28"/>
          <w:szCs w:val="28"/>
          <w:lang w:eastAsia="ru-RU"/>
        </w:rPr>
        <w:t>Москва - 2026 г.</w:t>
      </w:r>
    </w:p>
    <w:p w14:paraId="7F5C77B1" w14:textId="77777777" w:rsidR="005D246C" w:rsidRDefault="005D246C" w:rsidP="005D246C">
      <w:pPr>
        <w:spacing w:line="240" w:lineRule="auto"/>
        <w:jc w:val="center"/>
        <w:rPr>
          <w:rFonts w:ascii="Times New Roman" w:hAnsi="Times New Roman"/>
          <w:sz w:val="28"/>
          <w:szCs w:val="28"/>
        </w:rPr>
      </w:pPr>
      <w:r>
        <w:rPr>
          <w:rFonts w:ascii="Times New Roman" w:hAnsi="Times New Roman"/>
          <w:sz w:val="28"/>
          <w:szCs w:val="28"/>
        </w:rPr>
        <w:lastRenderedPageBreak/>
        <w:t>Содержание</w:t>
      </w:r>
    </w:p>
    <w:p w14:paraId="1968BC69" w14:textId="0F6F7689" w:rsidR="005D246C" w:rsidRDefault="005D246C" w:rsidP="00984BC5">
      <w:pPr>
        <w:tabs>
          <w:tab w:val="right" w:leader="dot" w:pos="9072"/>
        </w:tabs>
        <w:spacing w:line="240" w:lineRule="auto"/>
        <w:jc w:val="both"/>
        <w:rPr>
          <w:rFonts w:ascii="Times New Roman" w:hAnsi="Times New Roman"/>
          <w:sz w:val="28"/>
          <w:szCs w:val="28"/>
        </w:rPr>
      </w:pPr>
      <w:r>
        <w:rPr>
          <w:rFonts w:ascii="Times New Roman" w:hAnsi="Times New Roman"/>
          <w:sz w:val="28"/>
          <w:szCs w:val="28"/>
        </w:rPr>
        <w:t>Ведение</w:t>
      </w:r>
      <w:r w:rsidR="00984BC5">
        <w:rPr>
          <w:rFonts w:ascii="Times New Roman" w:hAnsi="Times New Roman"/>
          <w:sz w:val="28"/>
          <w:szCs w:val="28"/>
        </w:rPr>
        <w:tab/>
        <w:t>3</w:t>
      </w:r>
    </w:p>
    <w:p w14:paraId="2BEB60A2" w14:textId="3FE7913E" w:rsidR="006942AF" w:rsidRPr="006942AF" w:rsidRDefault="006942AF" w:rsidP="00984BC5">
      <w:pPr>
        <w:tabs>
          <w:tab w:val="right" w:leader="dot" w:pos="9072"/>
        </w:tabs>
        <w:spacing w:line="240" w:lineRule="auto"/>
        <w:jc w:val="both"/>
        <w:rPr>
          <w:rFonts w:ascii="Times New Roman" w:hAnsi="Times New Roman"/>
          <w:sz w:val="28"/>
          <w:szCs w:val="28"/>
        </w:rPr>
      </w:pPr>
      <w:r w:rsidRPr="006942AF">
        <w:rPr>
          <w:rFonts w:ascii="Times New Roman" w:hAnsi="Times New Roman"/>
          <w:sz w:val="28"/>
          <w:szCs w:val="28"/>
        </w:rPr>
        <w:t>1. Понятие валютного риска и его основные виды</w:t>
      </w:r>
      <w:r w:rsidR="00984BC5">
        <w:rPr>
          <w:rFonts w:ascii="Times New Roman" w:hAnsi="Times New Roman"/>
          <w:sz w:val="28"/>
          <w:szCs w:val="28"/>
        </w:rPr>
        <w:tab/>
        <w:t>3</w:t>
      </w:r>
    </w:p>
    <w:p w14:paraId="12173682" w14:textId="1EBB6AE9" w:rsidR="006942AF" w:rsidRPr="006942AF" w:rsidRDefault="006942AF" w:rsidP="00984BC5">
      <w:pPr>
        <w:tabs>
          <w:tab w:val="right" w:leader="dot" w:pos="9072"/>
        </w:tabs>
        <w:spacing w:line="240" w:lineRule="auto"/>
        <w:jc w:val="both"/>
        <w:rPr>
          <w:rFonts w:ascii="Times New Roman" w:hAnsi="Times New Roman"/>
          <w:sz w:val="28"/>
          <w:szCs w:val="28"/>
        </w:rPr>
      </w:pPr>
      <w:r w:rsidRPr="006942AF">
        <w:rPr>
          <w:rFonts w:ascii="Times New Roman" w:hAnsi="Times New Roman"/>
          <w:sz w:val="28"/>
          <w:szCs w:val="28"/>
        </w:rPr>
        <w:t>2. Оценка и управление валютными рисками</w:t>
      </w:r>
      <w:r w:rsidR="00984BC5">
        <w:rPr>
          <w:rFonts w:ascii="Times New Roman" w:hAnsi="Times New Roman"/>
          <w:sz w:val="28"/>
          <w:szCs w:val="28"/>
        </w:rPr>
        <w:tab/>
        <w:t>6</w:t>
      </w:r>
    </w:p>
    <w:p w14:paraId="4726E330" w14:textId="0BFFCD96" w:rsidR="006942AF" w:rsidRPr="006942AF" w:rsidRDefault="006942AF" w:rsidP="00984BC5">
      <w:pPr>
        <w:tabs>
          <w:tab w:val="right" w:leader="dot" w:pos="9072"/>
        </w:tabs>
        <w:spacing w:line="240" w:lineRule="auto"/>
        <w:jc w:val="both"/>
        <w:rPr>
          <w:rFonts w:ascii="Times New Roman" w:hAnsi="Times New Roman"/>
          <w:sz w:val="28"/>
          <w:szCs w:val="28"/>
        </w:rPr>
      </w:pPr>
      <w:r w:rsidRPr="006942AF">
        <w:rPr>
          <w:rFonts w:ascii="Times New Roman" w:hAnsi="Times New Roman"/>
          <w:sz w:val="28"/>
          <w:szCs w:val="28"/>
        </w:rPr>
        <w:t>3. Исторические кейсы валютных рисков</w:t>
      </w:r>
      <w:r w:rsidR="00984BC5">
        <w:rPr>
          <w:rFonts w:ascii="Times New Roman" w:hAnsi="Times New Roman"/>
          <w:sz w:val="28"/>
          <w:szCs w:val="28"/>
        </w:rPr>
        <w:tab/>
        <w:t>8</w:t>
      </w:r>
    </w:p>
    <w:p w14:paraId="4DE84B20" w14:textId="6ECF7893" w:rsidR="005D246C" w:rsidRDefault="005D246C" w:rsidP="00984BC5">
      <w:pPr>
        <w:tabs>
          <w:tab w:val="right" w:leader="dot" w:pos="9072"/>
        </w:tabs>
        <w:spacing w:line="240" w:lineRule="auto"/>
        <w:jc w:val="both"/>
        <w:rPr>
          <w:rFonts w:ascii="Times New Roman" w:hAnsi="Times New Roman"/>
          <w:sz w:val="28"/>
          <w:szCs w:val="28"/>
        </w:rPr>
      </w:pPr>
      <w:r>
        <w:rPr>
          <w:rFonts w:ascii="Times New Roman" w:hAnsi="Times New Roman"/>
          <w:sz w:val="28"/>
          <w:szCs w:val="28"/>
        </w:rPr>
        <w:t>Заключение</w:t>
      </w:r>
      <w:r w:rsidR="00984BC5">
        <w:rPr>
          <w:rFonts w:ascii="Times New Roman" w:hAnsi="Times New Roman"/>
          <w:sz w:val="28"/>
          <w:szCs w:val="28"/>
        </w:rPr>
        <w:tab/>
        <w:t>11</w:t>
      </w:r>
    </w:p>
    <w:p w14:paraId="6396E729" w14:textId="4C4630D9" w:rsidR="005D246C" w:rsidRDefault="005D246C" w:rsidP="00984BC5">
      <w:pPr>
        <w:tabs>
          <w:tab w:val="right" w:leader="dot" w:pos="9072"/>
        </w:tabs>
        <w:spacing w:line="240" w:lineRule="auto"/>
        <w:jc w:val="both"/>
        <w:rPr>
          <w:rFonts w:ascii="Times New Roman" w:hAnsi="Times New Roman"/>
          <w:sz w:val="28"/>
          <w:szCs w:val="28"/>
        </w:rPr>
      </w:pPr>
      <w:r>
        <w:rPr>
          <w:rFonts w:ascii="Times New Roman" w:hAnsi="Times New Roman"/>
          <w:sz w:val="28"/>
          <w:szCs w:val="28"/>
        </w:rPr>
        <w:t>Список литературы</w:t>
      </w:r>
      <w:r w:rsidR="00984BC5">
        <w:rPr>
          <w:rFonts w:ascii="Times New Roman" w:hAnsi="Times New Roman"/>
          <w:sz w:val="28"/>
          <w:szCs w:val="28"/>
        </w:rPr>
        <w:tab/>
        <w:t>1</w:t>
      </w:r>
      <w:r w:rsidR="001063D3">
        <w:rPr>
          <w:rFonts w:ascii="Times New Roman" w:hAnsi="Times New Roman"/>
          <w:sz w:val="28"/>
          <w:szCs w:val="28"/>
        </w:rPr>
        <w:t>2</w:t>
      </w:r>
    </w:p>
    <w:p w14:paraId="28BB0293" w14:textId="3ABCD2AF" w:rsidR="00984BC5" w:rsidRDefault="00984BC5" w:rsidP="00984BC5">
      <w:pPr>
        <w:tabs>
          <w:tab w:val="right" w:leader="dot" w:pos="9072"/>
        </w:tabs>
        <w:spacing w:line="240" w:lineRule="auto"/>
        <w:jc w:val="both"/>
        <w:rPr>
          <w:rFonts w:ascii="Times New Roman" w:hAnsi="Times New Roman"/>
          <w:sz w:val="28"/>
          <w:szCs w:val="28"/>
        </w:rPr>
      </w:pPr>
      <w:r w:rsidRPr="00984BC5">
        <w:rPr>
          <w:rFonts w:ascii="Times New Roman" w:hAnsi="Times New Roman"/>
          <w:sz w:val="28"/>
          <w:szCs w:val="28"/>
        </w:rPr>
        <w:t>Приложение А.</w:t>
      </w:r>
      <w:r>
        <w:rPr>
          <w:rFonts w:ascii="Times New Roman" w:hAnsi="Times New Roman"/>
          <w:sz w:val="28"/>
          <w:szCs w:val="28"/>
        </w:rPr>
        <w:t xml:space="preserve"> </w:t>
      </w:r>
      <w:r w:rsidRPr="00984BC5">
        <w:rPr>
          <w:rFonts w:ascii="Times New Roman" w:hAnsi="Times New Roman"/>
          <w:sz w:val="28"/>
          <w:szCs w:val="28"/>
        </w:rPr>
        <w:t>Сравнительная таблица исторических кейсо</w:t>
      </w:r>
      <w:r>
        <w:rPr>
          <w:rFonts w:ascii="Times New Roman" w:hAnsi="Times New Roman"/>
          <w:sz w:val="28"/>
          <w:szCs w:val="28"/>
        </w:rPr>
        <w:t>в</w:t>
      </w:r>
      <w:r w:rsidRPr="00984BC5">
        <w:rPr>
          <w:rFonts w:ascii="Times New Roman" w:hAnsi="Times New Roman"/>
          <w:sz w:val="28"/>
          <w:szCs w:val="28"/>
        </w:rPr>
        <w:t xml:space="preserve"> </w:t>
      </w:r>
      <w:r>
        <w:rPr>
          <w:rFonts w:ascii="Times New Roman" w:hAnsi="Times New Roman"/>
          <w:sz w:val="28"/>
          <w:szCs w:val="28"/>
        </w:rPr>
        <w:tab/>
        <w:t>1</w:t>
      </w:r>
      <w:r w:rsidR="001063D3">
        <w:rPr>
          <w:rFonts w:ascii="Times New Roman" w:hAnsi="Times New Roman"/>
          <w:sz w:val="28"/>
          <w:szCs w:val="28"/>
        </w:rPr>
        <w:t>3</w:t>
      </w:r>
    </w:p>
    <w:p w14:paraId="64DD130E" w14:textId="3A911A08" w:rsidR="00594939" w:rsidRPr="001063D3" w:rsidRDefault="00594939" w:rsidP="005D246C">
      <w:pPr>
        <w:spacing w:line="240" w:lineRule="auto"/>
      </w:pPr>
    </w:p>
    <w:p w14:paraId="29D3C1AD" w14:textId="77777777" w:rsidR="00984BC5" w:rsidRPr="001063D3" w:rsidRDefault="00984BC5" w:rsidP="005D246C">
      <w:pPr>
        <w:spacing w:line="240" w:lineRule="auto"/>
      </w:pPr>
    </w:p>
    <w:p w14:paraId="6294E8CF" w14:textId="77777777" w:rsidR="00984BC5" w:rsidRPr="001063D3" w:rsidRDefault="00984BC5" w:rsidP="005D246C">
      <w:pPr>
        <w:spacing w:line="240" w:lineRule="auto"/>
      </w:pPr>
    </w:p>
    <w:p w14:paraId="6F862B8C" w14:textId="77777777" w:rsidR="00984BC5" w:rsidRPr="001063D3" w:rsidRDefault="00984BC5" w:rsidP="005D246C">
      <w:pPr>
        <w:spacing w:line="240" w:lineRule="auto"/>
      </w:pPr>
    </w:p>
    <w:p w14:paraId="31D1EB64" w14:textId="77777777" w:rsidR="00984BC5" w:rsidRPr="001063D3" w:rsidRDefault="00984BC5" w:rsidP="005D246C">
      <w:pPr>
        <w:spacing w:line="240" w:lineRule="auto"/>
      </w:pPr>
    </w:p>
    <w:p w14:paraId="7FC0CCC5" w14:textId="77777777" w:rsidR="00984BC5" w:rsidRPr="001063D3" w:rsidRDefault="00984BC5" w:rsidP="005D246C">
      <w:pPr>
        <w:spacing w:line="240" w:lineRule="auto"/>
      </w:pPr>
    </w:p>
    <w:p w14:paraId="201ACDFA" w14:textId="77777777" w:rsidR="00984BC5" w:rsidRPr="001063D3" w:rsidRDefault="00984BC5" w:rsidP="005D246C">
      <w:pPr>
        <w:spacing w:line="240" w:lineRule="auto"/>
      </w:pPr>
    </w:p>
    <w:p w14:paraId="620AF418" w14:textId="77777777" w:rsidR="00984BC5" w:rsidRDefault="00984BC5" w:rsidP="005D246C">
      <w:pPr>
        <w:spacing w:line="240" w:lineRule="auto"/>
      </w:pPr>
    </w:p>
    <w:p w14:paraId="33B55CB6" w14:textId="77777777" w:rsidR="00AA1D34" w:rsidRDefault="00AA1D34" w:rsidP="005D246C">
      <w:pPr>
        <w:spacing w:line="240" w:lineRule="auto"/>
      </w:pPr>
    </w:p>
    <w:p w14:paraId="0F3A2CFB" w14:textId="77777777" w:rsidR="00AA1D34" w:rsidRDefault="00AA1D34" w:rsidP="005D246C">
      <w:pPr>
        <w:spacing w:line="240" w:lineRule="auto"/>
      </w:pPr>
    </w:p>
    <w:p w14:paraId="31B78713" w14:textId="77777777" w:rsidR="00AA1D34" w:rsidRDefault="00AA1D34" w:rsidP="005D246C">
      <w:pPr>
        <w:spacing w:line="240" w:lineRule="auto"/>
      </w:pPr>
    </w:p>
    <w:p w14:paraId="0194BBA9" w14:textId="77777777" w:rsidR="00AA1D34" w:rsidRDefault="00AA1D34" w:rsidP="005D246C">
      <w:pPr>
        <w:spacing w:line="240" w:lineRule="auto"/>
      </w:pPr>
    </w:p>
    <w:p w14:paraId="2EC391A9" w14:textId="77777777" w:rsidR="00AA1D34" w:rsidRDefault="00AA1D34" w:rsidP="005D246C">
      <w:pPr>
        <w:spacing w:line="240" w:lineRule="auto"/>
      </w:pPr>
    </w:p>
    <w:p w14:paraId="67313006" w14:textId="77777777" w:rsidR="00AA1D34" w:rsidRDefault="00AA1D34" w:rsidP="005D246C">
      <w:pPr>
        <w:spacing w:line="240" w:lineRule="auto"/>
      </w:pPr>
    </w:p>
    <w:p w14:paraId="236695C7" w14:textId="77777777" w:rsidR="00AA1D34" w:rsidRDefault="00AA1D34" w:rsidP="005D246C">
      <w:pPr>
        <w:spacing w:line="240" w:lineRule="auto"/>
      </w:pPr>
    </w:p>
    <w:p w14:paraId="7FCEF83B" w14:textId="77777777" w:rsidR="00AA1D34" w:rsidRDefault="00AA1D34" w:rsidP="005D246C">
      <w:pPr>
        <w:spacing w:line="240" w:lineRule="auto"/>
      </w:pPr>
    </w:p>
    <w:p w14:paraId="5C526C16" w14:textId="77777777" w:rsidR="00AA1D34" w:rsidRDefault="00AA1D34" w:rsidP="005D246C">
      <w:pPr>
        <w:spacing w:line="240" w:lineRule="auto"/>
      </w:pPr>
    </w:p>
    <w:p w14:paraId="3F3A62B7" w14:textId="77777777" w:rsidR="00AA1D34" w:rsidRDefault="00AA1D34" w:rsidP="005D246C">
      <w:pPr>
        <w:spacing w:line="240" w:lineRule="auto"/>
      </w:pPr>
    </w:p>
    <w:p w14:paraId="51608F2D" w14:textId="77777777" w:rsidR="00AA1D34" w:rsidRPr="001063D3" w:rsidRDefault="00AA1D34" w:rsidP="005D246C">
      <w:pPr>
        <w:spacing w:line="240" w:lineRule="auto"/>
      </w:pPr>
    </w:p>
    <w:p w14:paraId="02F26202" w14:textId="77777777" w:rsidR="00984BC5" w:rsidRPr="001063D3" w:rsidRDefault="00984BC5" w:rsidP="005D246C">
      <w:pPr>
        <w:spacing w:line="240" w:lineRule="auto"/>
      </w:pPr>
    </w:p>
    <w:p w14:paraId="3A65D1DF" w14:textId="77777777" w:rsidR="00984BC5" w:rsidRPr="001063D3" w:rsidRDefault="00984BC5" w:rsidP="005D246C">
      <w:pPr>
        <w:spacing w:line="240" w:lineRule="auto"/>
      </w:pPr>
    </w:p>
    <w:p w14:paraId="4CD3CF8F" w14:textId="77777777" w:rsidR="00984BC5" w:rsidRPr="001063D3" w:rsidRDefault="00984BC5" w:rsidP="005D246C">
      <w:pPr>
        <w:spacing w:line="240" w:lineRule="auto"/>
      </w:pPr>
    </w:p>
    <w:p w14:paraId="4CE3CE16" w14:textId="77777777" w:rsidR="00984BC5" w:rsidRPr="00984BC5" w:rsidRDefault="00984BC5" w:rsidP="00984BC5">
      <w:pPr>
        <w:spacing w:line="240" w:lineRule="auto"/>
        <w:ind w:left="3545" w:firstLine="709"/>
        <w:jc w:val="both"/>
        <w:rPr>
          <w:rFonts w:ascii="Times New Roman" w:hAnsi="Times New Roman"/>
          <w:b/>
          <w:bCs/>
          <w:sz w:val="28"/>
          <w:szCs w:val="28"/>
        </w:rPr>
      </w:pPr>
      <w:r w:rsidRPr="00984BC5">
        <w:rPr>
          <w:rFonts w:ascii="Times New Roman" w:hAnsi="Times New Roman"/>
          <w:b/>
          <w:bCs/>
          <w:sz w:val="28"/>
          <w:szCs w:val="28"/>
        </w:rPr>
        <w:lastRenderedPageBreak/>
        <w:t>ВВЕДЕНИЕ</w:t>
      </w:r>
    </w:p>
    <w:p w14:paraId="5A66013A" w14:textId="77777777" w:rsidR="00984BC5" w:rsidRPr="00984BC5" w:rsidRDefault="00984BC5" w:rsidP="00CA7396">
      <w:pPr>
        <w:spacing w:line="240" w:lineRule="auto"/>
        <w:ind w:firstLine="709"/>
        <w:jc w:val="both"/>
        <w:rPr>
          <w:rFonts w:ascii="Times New Roman" w:hAnsi="Times New Roman"/>
          <w:sz w:val="28"/>
          <w:szCs w:val="28"/>
        </w:rPr>
      </w:pPr>
      <w:r w:rsidRPr="00984BC5">
        <w:rPr>
          <w:rFonts w:ascii="Times New Roman" w:hAnsi="Times New Roman"/>
          <w:sz w:val="28"/>
          <w:szCs w:val="28"/>
        </w:rPr>
        <w:t>Валютный риск возникает тогда, когда изменение обменного курса способно изменить стоимость будущих денежных потоков, активов, обязательств или результатов деятельности экономического субъекта. Для компании, которая получает выручку в одной валюте и несет расходы в другой, изменение курса непосредственно влияет на прибыль. Для банка существенными становятся открытые валютные позиции и изменение стоимости привлеченных и размещенных средств. Для государства резкое изменение курса может увеличивать нагрузку по внешнему долгу, ухудшать положение банков и компаний с обязательствами в иностранной валюте и ускорять отток капитала [3].</w:t>
      </w:r>
    </w:p>
    <w:p w14:paraId="1649E2BE"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Проблема валютного риска связана не только с колебаниями котировок на рынке. Существенное значение имеют валютный режим, структура внешнего долга, сроки платежей, доля импортных компонентов в производстве, характер экспортной выручки и способность участников рынка использовать инструменты хеджирования. Исторические кризисы показывают, что фиксированный или управляемый курс сам по себе не устраняет риск. Напротив, при накоплении дисбалансов он способен скрывать проблему до момента резкой корректировки курса [2; 6].</w:t>
      </w:r>
    </w:p>
    <w:p w14:paraId="2B8C503E"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Практическая значимость темы определяется масштабом валютного рынка. По данным Банка международных расчетов, среднедневной оборот внебиржевого валютного рынка в апреле 2025 г. достиг 9,6 трлн долл. США. На одну из сторон 89,2% сделок приходился доллар США. Обороты по валютным свопам составили около 4,0 трлн долл. в день, по спот-сделкам - около 3,0 трлн долл., по форвардам - около 1,7 трлн долл. [4; 5]. Эти данные показывают, что управление валютной позицией является самостоятельной областью финансового менеджмента, а производные инструменты используются не только для спекулятивных операций, но и для ограничения риска.</w:t>
      </w:r>
    </w:p>
    <w:p w14:paraId="40EF1D5C"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Цель работы - раскрыть содержание валютного риска, систематизировать его основные виды, рассмотреть подходы к оценке и снижению риска, а также проанализировать исторические кейсы, в которых изменение валютного режима или курса стало одним из центральных факторов финансовых потерь.</w:t>
      </w:r>
    </w:p>
    <w:p w14:paraId="30462D29"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Для достижения цели поставлены следующие задачи: раскрыть содержание понятия валютного риска; рассмотреть транзакционный, трансляционный и экономический виды валютной экспозиции; описать способы оценки открытой позиции; охарактеризовать основные инструменты хеджирования; разобрать исторические кризисы и показать, каким образом валютный риск передавался от государства и финансового сектора к предприятиям, банкам и инвесторам.</w:t>
      </w:r>
    </w:p>
    <w:p w14:paraId="0F3F5677" w14:textId="77777777" w:rsidR="00984BC5" w:rsidRPr="00CA7396" w:rsidRDefault="00984BC5" w:rsidP="00CA7396">
      <w:pPr>
        <w:spacing w:line="240" w:lineRule="auto"/>
        <w:jc w:val="both"/>
        <w:rPr>
          <w:rFonts w:ascii="Times New Roman" w:hAnsi="Times New Roman"/>
          <w:b/>
          <w:bCs/>
          <w:sz w:val="28"/>
          <w:szCs w:val="28"/>
        </w:rPr>
      </w:pPr>
      <w:r w:rsidRPr="00CA7396">
        <w:rPr>
          <w:rFonts w:ascii="Times New Roman" w:hAnsi="Times New Roman"/>
          <w:b/>
          <w:bCs/>
          <w:sz w:val="28"/>
          <w:szCs w:val="28"/>
        </w:rPr>
        <w:t>1. ПОНЯТИЕ ВАЛЮТНОГО РИСКА И ЕГО ОСНОВНЫЕ ВИДЫ</w:t>
      </w:r>
    </w:p>
    <w:p w14:paraId="60ED3357"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 xml:space="preserve">В экономической литературе валютный риск обычно связывается с неопределенностью изменения стоимости операции или финансового требования, если соответствующая сумма выражена в иностранной валюте. В прикладном </w:t>
      </w:r>
      <w:r w:rsidRPr="00CA7396">
        <w:rPr>
          <w:rFonts w:ascii="Times New Roman" w:hAnsi="Times New Roman"/>
          <w:sz w:val="28"/>
          <w:szCs w:val="28"/>
        </w:rPr>
        <w:lastRenderedPageBreak/>
        <w:t>управлении важно различать понятия «валютный риск» и «валютная экспозиция». Экспозиция показывает, на какую величину финансовый результат субъекта зависит от изменения курса. Риск характеризует возможное неблагоприятное изменение этого результата. Такой подход позволяет перейти от общего наблюдения за курсом к количественной оценке чувствительности денежных потоков [3].</w:t>
      </w:r>
    </w:p>
    <w:p w14:paraId="06D77ED4"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Наиболее простой пример связан с импортным контрактом. Российская компания должна оплатить поставщику 1 млн евро через три месяца. Если в момент заключения договора курс составляет 100 руб. за евро, плановая рублевая стоимость платежа равна 100 млн руб. При росте курса до 110 руб. расходы увеличатся до 110 млн руб. Даже при неизменной цене товара в евро компания получит дополнительную нагрузку в размере 10 млн руб. Именно изменение рублевой стоимости уже существующего обязательства представляет собой транзакционный валютный риск.</w:t>
      </w:r>
    </w:p>
    <w:p w14:paraId="142945EA"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Экспозиция может возникать и без отдельного внешнеторгового контракта. Например, предприятие закупает сырье у местного поставщика, но поставщик формирует цену с учетом импортных компонентов. Ослабление национальной валюты в этом случае способно увеличить себестоимость через изменение внутренних цен. Такой эффект относится уже к экономической экспозиции, поскольку меняется конкурентоспособность и структура будущих денежных потоков предприятия.</w:t>
      </w:r>
    </w:p>
    <w:p w14:paraId="0E6BCCA5"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На уровне государства валютный риск проявляется через состав государственного и корпоративного внешнего долга, международные резервы, состояние платежного баланса и валютный режим. При значительном объеме обязательств в иностранной валюте девальвация национальной валюты автоматически увеличивает их стоимость в национальной валюте. Если одновременно сокращаются резервы и прекращается приток внешнего финансирования, у государства возникает риск потери возможности поддерживать выбранный курс [6].</w:t>
      </w:r>
    </w:p>
    <w:p w14:paraId="589696FA"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Валютный риск нельзя полностью устранить. Даже компания, не имеющая прямых обязательств в иностранной валюте, может зависеть от курса через цены конкурентов, сырье, ставки по финансированию и поведение покупателей. Поэтому на практике речь идет не об исключении риска, а об определении допустимой величины открытой позиции и выборе формы защиты от неблагоприятного движения курса.</w:t>
      </w:r>
    </w:p>
    <w:p w14:paraId="1D184F19"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Классическая классификация корпоративной валютной экспозиции включает три основных вида: транзакционный, трансляционный и экономический риск [3]. Такое деление используется для того, чтобы различать уже заключенные сделки, бухгалтерскую переоценку и влияние курса на будущую деятельность предприятия.</w:t>
      </w:r>
    </w:p>
    <w:p w14:paraId="489F3764"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 xml:space="preserve">Транзакционный риск связан с конкретными денежными потоками, размер которых зафиксирован в иностранной валюте. К нему относятся дебиторская и кредиторская задолженность, валютные кредиты, будущие платежи по импортным контрактам и поступления по экспортным контрактам. Отличительная особенность </w:t>
      </w:r>
      <w:r w:rsidRPr="00CA7396">
        <w:rPr>
          <w:rFonts w:ascii="Times New Roman" w:hAnsi="Times New Roman"/>
          <w:sz w:val="28"/>
          <w:szCs w:val="28"/>
        </w:rPr>
        <w:lastRenderedPageBreak/>
        <w:t>состоит в том, что срок и валюта денежного потока известны, а рублевая или иная базовая стоимость зависит от курса на дату расчетов. Поэтому такой риск сравнительно легко сопоставить с хеджирующей операцией по сроку и сумме.</w:t>
      </w:r>
    </w:p>
    <w:p w14:paraId="1F1CD1D8" w14:textId="69321412"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Трансляционный риск возникает при пересчете отчетности зарубежной дочерней компании в валюту отчетности группы. Сам по себе бухгалтерский эффект не обязательно означает реальный денежный убыток. Например, если активы дочерней компании номинированы в евро, а отчетность группы ведется в другой валюте</w:t>
      </w:r>
      <w:r w:rsidR="00AA1D34" w:rsidRPr="00AA1D34">
        <w:rPr>
          <w:rFonts w:ascii="Times New Roman" w:hAnsi="Times New Roman"/>
          <w:sz w:val="28"/>
          <w:szCs w:val="28"/>
        </w:rPr>
        <w:t>,</w:t>
      </w:r>
      <w:r w:rsidRPr="00CA7396">
        <w:rPr>
          <w:rFonts w:ascii="Times New Roman" w:hAnsi="Times New Roman"/>
          <w:sz w:val="28"/>
          <w:szCs w:val="28"/>
        </w:rPr>
        <w:t xml:space="preserve"> ослабление евро уменьшит их стоимость при пересчете. В консолидированной отчетности это может привести к курсовым разницам и изменению капитала, хотя фактического платежа по операции не произошло [3].</w:t>
      </w:r>
    </w:p>
    <w:p w14:paraId="2FAB0F21" w14:textId="16CC7D2B" w:rsidR="00984BC5" w:rsidRPr="00CA7396" w:rsidRDefault="00984BC5" w:rsidP="00CA7396">
      <w:pPr>
        <w:spacing w:line="240" w:lineRule="auto"/>
        <w:ind w:firstLine="709"/>
        <w:jc w:val="both"/>
        <w:rPr>
          <w:rFonts w:ascii="Times New Roman" w:hAnsi="Times New Roman"/>
          <w:sz w:val="28"/>
          <w:szCs w:val="28"/>
        </w:rPr>
      </w:pPr>
      <w:proofErr w:type="gramStart"/>
      <w:r w:rsidRPr="00CA7396">
        <w:rPr>
          <w:rFonts w:ascii="Times New Roman" w:hAnsi="Times New Roman"/>
          <w:sz w:val="28"/>
          <w:szCs w:val="28"/>
        </w:rPr>
        <w:t>Экономически</w:t>
      </w:r>
      <w:r w:rsidR="00AA1D34">
        <w:rPr>
          <w:rFonts w:ascii="Times New Roman" w:hAnsi="Times New Roman"/>
          <w:sz w:val="28"/>
          <w:szCs w:val="28"/>
        </w:rPr>
        <w:t xml:space="preserve"> </w:t>
      </w:r>
      <w:r w:rsidRPr="00CA7396">
        <w:rPr>
          <w:rFonts w:ascii="Times New Roman" w:hAnsi="Times New Roman"/>
          <w:sz w:val="28"/>
          <w:szCs w:val="28"/>
        </w:rPr>
        <w:t xml:space="preserve"> или</w:t>
      </w:r>
      <w:proofErr w:type="gramEnd"/>
      <w:r w:rsidRPr="00CA7396">
        <w:rPr>
          <w:rFonts w:ascii="Times New Roman" w:hAnsi="Times New Roman"/>
          <w:sz w:val="28"/>
          <w:szCs w:val="28"/>
        </w:rPr>
        <w:t xml:space="preserve"> операционный риск имеет более широкий горизонт. Он связан с изменением стоимости компании и будущих денежных потоков вследствие изменения курса. Для экспортера укрепление национальной валюты может сделать его продукцию дороже для иностранных покупателей. Для </w:t>
      </w:r>
      <w:proofErr w:type="spellStart"/>
      <w:r w:rsidRPr="00CA7396">
        <w:rPr>
          <w:rFonts w:ascii="Times New Roman" w:hAnsi="Times New Roman"/>
          <w:sz w:val="28"/>
          <w:szCs w:val="28"/>
        </w:rPr>
        <w:t>импортозависимой</w:t>
      </w:r>
      <w:proofErr w:type="spellEnd"/>
      <w:r w:rsidRPr="00CA7396">
        <w:rPr>
          <w:rFonts w:ascii="Times New Roman" w:hAnsi="Times New Roman"/>
          <w:sz w:val="28"/>
          <w:szCs w:val="28"/>
        </w:rPr>
        <w:t xml:space="preserve"> компании ослабление национальной валюты способно повысить себестоимость. Воздействие в обоих случаях может продолжаться годами и не сводиться к одному контракту.</w:t>
      </w:r>
    </w:p>
    <w:p w14:paraId="50703FA7"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Между видами риска существует связь. Транзакционные позиции часто образуют основу экономической экспозиции, а бухгалтерские результаты трансляции могут изменять показатели группы и условия привлечения финансирования. В управленческой практике поэтому нельзя ограничиваться только расчетом платежей по заключенным контрактам: необходим анализ структуры бизнеса, валюты выручки и затрат, долга и долгосрочной конкурентоспособности.</w:t>
      </w:r>
    </w:p>
    <w:p w14:paraId="1D8AF220" w14:textId="30B9F4E1"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 xml:space="preserve">Для государства валютный риск часто связан с выбором режима обменного курса. При жесткой фиксации курса центральный банк берет на себя обязанность поддерживать определенное соотношение валют при наличии достаточных резервов и согласованной денежно-кредитной политики. При плавающем курсе часть корректировки переносится на рыночную цену валюты. Ни один режим не исключает </w:t>
      </w:r>
      <w:proofErr w:type="spellStart"/>
      <w:proofErr w:type="gramStart"/>
      <w:r w:rsidRPr="00CA7396">
        <w:rPr>
          <w:rFonts w:ascii="Times New Roman" w:hAnsi="Times New Roman"/>
          <w:sz w:val="28"/>
          <w:szCs w:val="28"/>
        </w:rPr>
        <w:t>риска:при</w:t>
      </w:r>
      <w:proofErr w:type="spellEnd"/>
      <w:proofErr w:type="gramEnd"/>
      <w:r w:rsidRPr="00CA7396">
        <w:rPr>
          <w:rFonts w:ascii="Times New Roman" w:hAnsi="Times New Roman"/>
          <w:sz w:val="28"/>
          <w:szCs w:val="28"/>
        </w:rPr>
        <w:t xml:space="preserve"> фиксированном курсе возрастает риск резкой девальвации после исчерпания резервов, а при плавающем - риск быстрых колебаний курса и связанных с ними изменений инфляции и стоимости внешних обязательств [1; 2].</w:t>
      </w:r>
    </w:p>
    <w:p w14:paraId="767787F8" w14:textId="219D75B9"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 xml:space="preserve">Особенно опасна комбинация фиксированного курса и значительного краткосрочного внешнего </w:t>
      </w:r>
      <w:proofErr w:type="spellStart"/>
      <w:proofErr w:type="gramStart"/>
      <w:r w:rsidRPr="00CA7396">
        <w:rPr>
          <w:rFonts w:ascii="Times New Roman" w:hAnsi="Times New Roman"/>
          <w:sz w:val="28"/>
          <w:szCs w:val="28"/>
        </w:rPr>
        <w:t>долга.Пока</w:t>
      </w:r>
      <w:proofErr w:type="spellEnd"/>
      <w:proofErr w:type="gramEnd"/>
      <w:r w:rsidR="00AA1D34">
        <w:rPr>
          <w:rFonts w:ascii="Times New Roman" w:hAnsi="Times New Roman"/>
          <w:sz w:val="28"/>
          <w:szCs w:val="28"/>
        </w:rPr>
        <w:t xml:space="preserve"> </w:t>
      </w:r>
      <w:r w:rsidRPr="00CA7396">
        <w:rPr>
          <w:rFonts w:ascii="Times New Roman" w:hAnsi="Times New Roman"/>
          <w:sz w:val="28"/>
          <w:szCs w:val="28"/>
        </w:rPr>
        <w:t>инвесторы считают курс устойчивым, компании и банки могут активно занимать в иностранной валюте. После девальвации их обязательства резко увеличиваются в национальной валюте, а активы и выручка могут не успевать расти. Именно этот механизм проявлялся во многих кризисах развивающихся стран в 1990-е гг. [7].</w:t>
      </w:r>
    </w:p>
    <w:p w14:paraId="62A826D5"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 xml:space="preserve">Отдельным элементом риска является валютный риск банков. Банк может иметь активы в иностранной валюте и обязательства в национальной валюте либо обратную структуру. При открытой позиции изменение курса меняет капитал и финансовый результат. Кроме того, даже при относительно небольшой чистой </w:t>
      </w:r>
      <w:r w:rsidRPr="00CA7396">
        <w:rPr>
          <w:rFonts w:ascii="Times New Roman" w:hAnsi="Times New Roman"/>
          <w:sz w:val="28"/>
          <w:szCs w:val="28"/>
        </w:rPr>
        <w:lastRenderedPageBreak/>
        <w:t>позиции банк может столкнуться с кредитным риском заемщиков, имеющих валютный долг. Девальвация ухудшает их платежеспособность и увеличивает долю проблемных кредитов [7].</w:t>
      </w:r>
    </w:p>
    <w:p w14:paraId="67E6AF64"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Таким образом, валютный риск государства и финансового сектора имеет системный характер. Он способен быстро переходить из рынка валют в рынок государственного долга, банковский сектор, фондовый рынок и реальный сектор экономики. Наиболее уязвимы системы, в которых участники рынка одновременно имеют высокую валютную задолженность, короткие сроки рефинансирования и ограниченный запас ликвидности.</w:t>
      </w:r>
    </w:p>
    <w:p w14:paraId="17E36C64" w14:textId="77777777" w:rsidR="00984BC5" w:rsidRPr="00CA7396" w:rsidRDefault="00984BC5" w:rsidP="00CA7396">
      <w:pPr>
        <w:spacing w:line="240" w:lineRule="auto"/>
        <w:jc w:val="both"/>
        <w:rPr>
          <w:rFonts w:ascii="Times New Roman" w:hAnsi="Times New Roman"/>
          <w:b/>
          <w:bCs/>
          <w:sz w:val="28"/>
          <w:szCs w:val="28"/>
        </w:rPr>
      </w:pPr>
      <w:r w:rsidRPr="00CA7396">
        <w:rPr>
          <w:rFonts w:ascii="Times New Roman" w:hAnsi="Times New Roman"/>
          <w:b/>
          <w:bCs/>
          <w:sz w:val="28"/>
          <w:szCs w:val="28"/>
        </w:rPr>
        <w:t>2. ОЦЕНКА И УПРАВЛЕНИЕ ВАЛЮТНЫМИ РИСКАМИ</w:t>
      </w:r>
    </w:p>
    <w:p w14:paraId="4FEFA7EF"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Управление валютным риском начинается с составления карты валютных потоков. Для каждой валюты необходимо определить ожидаемые поступления и платежи, сроки их возникновения и степень определенности. По простейшей схеме чистая открытая позиция рассчитывается как разница между активами и обязательствами либо между ожидаемыми поступлениями и выплатами в конкретной валюте. В банковской деятельности дополнительно учитываются внебалансовые требования и обязательства по производным инструментам.</w:t>
      </w:r>
    </w:p>
    <w:p w14:paraId="380A5A29"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Например, предприятие ожидает получить через три месяца 5 млн долларов и должно заплатить 3 млн долларов. Чистая длинная позиция составляет 2 млн долларов. Если доллар подорожает относительно национальной валюты, рублевая стоимость чистого притока возрастет. Если же будущая операция связана с гарантированной выплатой, структура позиции будет обратной и рост доллара станет источником потенциального убытка.</w:t>
      </w:r>
    </w:p>
    <w:p w14:paraId="0031A4AD"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 xml:space="preserve">Для оценки рыночного риска одной суммы позиции недостаточно. Имеют значение волатильность курса и горизонт. Поэтому используются сценарный анализ, чувствительность и показатели типа </w:t>
      </w:r>
      <w:proofErr w:type="spellStart"/>
      <w:r w:rsidRPr="00CA7396">
        <w:rPr>
          <w:rFonts w:ascii="Times New Roman" w:hAnsi="Times New Roman"/>
          <w:sz w:val="28"/>
          <w:szCs w:val="28"/>
        </w:rPr>
        <w:t>VaR</w:t>
      </w:r>
      <w:proofErr w:type="spellEnd"/>
      <w:r w:rsidRPr="00CA7396">
        <w:rPr>
          <w:rFonts w:ascii="Times New Roman" w:hAnsi="Times New Roman"/>
          <w:sz w:val="28"/>
          <w:szCs w:val="28"/>
        </w:rPr>
        <w:t>. Сценарный подход позволяет рассчитать результат при заранее заданном изменении курса, например -5%, -10% или +15%. Стресс-тестирование рассматривает редкие, но значительные события: резкую девальвацию, временное отсутствие ликвидности, разрыв корреляций или ограничение доступа к валютному рынку.</w:t>
      </w:r>
    </w:p>
    <w:p w14:paraId="0B8722CB"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Практическая трудность состоит в том, что будущие потоки часто неизвестны точно. Экспортер может планировать продажи, но объем фактической выручки зависит от спроса. Компания может использовать сырье нескольких поставщиков и не иметь точной оценки будущей валютной себестоимости. Поэтому хеджирование прогнозируемых денежных потоков требует определения минимально гарантированного и вероятного объема позиции.</w:t>
      </w:r>
    </w:p>
    <w:p w14:paraId="5A4E8416"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 xml:space="preserve">Отдельное значение имеет срок. Короткая позиция на неделю и аналогичная по сумме позиция на три года имеют разный профиль риска. В долгосрочном периоде возрастает вероятность изменения не только курса, но и процентных ставок, </w:t>
      </w:r>
      <w:r w:rsidRPr="00CA7396">
        <w:rPr>
          <w:rFonts w:ascii="Times New Roman" w:hAnsi="Times New Roman"/>
          <w:sz w:val="28"/>
          <w:szCs w:val="28"/>
        </w:rPr>
        <w:lastRenderedPageBreak/>
        <w:t>корреляций, условий рефинансирования и самой структуры бизнеса. Поэтому лимиты валютной позиции обычно устанавливаются одновременно по сумме и сроку.</w:t>
      </w:r>
    </w:p>
    <w:p w14:paraId="338154EF"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Основная задача хеджирования заключается в том, чтобы заранее ограничить неблагоприятное влияние курса на будущий денежный поток. Наиболее прямым инструментом является форвардный контракт. Две стороны договариваются обменять определенную сумму валюты в будущем по курсу, согласованному при заключении договора. По определению BIS, outright forward предусматривает обмен валют по курсу, установленному в день заключения сделки, с исполнением в будущем [5].</w:t>
      </w:r>
    </w:p>
    <w:p w14:paraId="03A418F0"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 xml:space="preserve">Преимущество форварда состоит в высокой точности соответствия конкретной операции. Экспортер, которому через три месяца поступит 2 млн долларов, может зафиксировать курс продажи. Тогда результат операции не будет зависеть от спотовой котировки в день поступления средств. Недостатком является отказ от потенциальной выгоды при благоприятном изменении курса, а также наличие контрагентского и </w:t>
      </w:r>
      <w:proofErr w:type="spellStart"/>
      <w:r w:rsidRPr="00CA7396">
        <w:rPr>
          <w:rFonts w:ascii="Times New Roman" w:hAnsi="Times New Roman"/>
          <w:sz w:val="28"/>
          <w:szCs w:val="28"/>
        </w:rPr>
        <w:t>ликвидностного</w:t>
      </w:r>
      <w:proofErr w:type="spellEnd"/>
      <w:r w:rsidRPr="00CA7396">
        <w:rPr>
          <w:rFonts w:ascii="Times New Roman" w:hAnsi="Times New Roman"/>
          <w:sz w:val="28"/>
          <w:szCs w:val="28"/>
        </w:rPr>
        <w:t xml:space="preserve"> риска в зависимости от условий сделки.</w:t>
      </w:r>
    </w:p>
    <w:p w14:paraId="495D66EF"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 xml:space="preserve">Фьючерс похож </w:t>
      </w:r>
      <w:proofErr w:type="gramStart"/>
      <w:r w:rsidRPr="00CA7396">
        <w:rPr>
          <w:rFonts w:ascii="Times New Roman" w:hAnsi="Times New Roman"/>
          <w:sz w:val="28"/>
          <w:szCs w:val="28"/>
        </w:rPr>
        <w:t>на форвард</w:t>
      </w:r>
      <w:proofErr w:type="gramEnd"/>
      <w:r w:rsidRPr="00CA7396">
        <w:rPr>
          <w:rFonts w:ascii="Times New Roman" w:hAnsi="Times New Roman"/>
          <w:sz w:val="28"/>
          <w:szCs w:val="28"/>
        </w:rPr>
        <w:t xml:space="preserve"> по экономическому назначению, но является стандартизированным биржевым инструментом. Контракт имеет установленный размер и срок, а расчеты проходят через биржевую инфраструктуру и клиринговую систему. Из-за стандартизации фьючерс не всегда полностью совпадает с реальной датой платежа или размером позиции, поэтому возникает базисный риск.</w:t>
      </w:r>
    </w:p>
    <w:p w14:paraId="1F42BE0F" w14:textId="174BBB6B"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 xml:space="preserve">Опцион дает </w:t>
      </w:r>
      <w:proofErr w:type="gramStart"/>
      <w:r w:rsidRPr="00CA7396">
        <w:rPr>
          <w:rFonts w:ascii="Times New Roman" w:hAnsi="Times New Roman"/>
          <w:sz w:val="28"/>
          <w:szCs w:val="28"/>
        </w:rPr>
        <w:t>право</w:t>
      </w:r>
      <w:proofErr w:type="gramEnd"/>
      <w:r w:rsidR="00AA1D34">
        <w:rPr>
          <w:rFonts w:ascii="Times New Roman" w:hAnsi="Times New Roman"/>
          <w:sz w:val="28"/>
          <w:szCs w:val="28"/>
        </w:rPr>
        <w:t xml:space="preserve"> </w:t>
      </w:r>
      <w:r w:rsidRPr="00CA7396">
        <w:rPr>
          <w:rFonts w:ascii="Times New Roman" w:hAnsi="Times New Roman"/>
          <w:sz w:val="28"/>
          <w:szCs w:val="28"/>
        </w:rPr>
        <w:t xml:space="preserve">но не обязанность купить или продать валюту по заранее установленному курсу. Покупатель опциона платит премию, поэтому стоимость защиты возникает сразу. В обмен на нее сохраняется возможность отказаться от исполнения при благоприятном </w:t>
      </w:r>
      <w:proofErr w:type="spellStart"/>
      <w:r w:rsidRPr="00CA7396">
        <w:rPr>
          <w:rFonts w:ascii="Times New Roman" w:hAnsi="Times New Roman"/>
          <w:sz w:val="28"/>
          <w:szCs w:val="28"/>
        </w:rPr>
        <w:t>рынке.BIS</w:t>
      </w:r>
      <w:proofErr w:type="spellEnd"/>
      <w:r w:rsidRPr="00CA7396">
        <w:rPr>
          <w:rFonts w:ascii="Times New Roman" w:hAnsi="Times New Roman"/>
          <w:sz w:val="28"/>
          <w:szCs w:val="28"/>
        </w:rPr>
        <w:t xml:space="preserve"> относит валютные опционы к контрактам, предоставляющим право купить или продать одну валюту за другую по определенному курсу в течение заданного периода [5].</w:t>
      </w:r>
    </w:p>
    <w:p w14:paraId="5E821A1E"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Валютный своп предполагает обмен валютными потоками и их обратный обмен на будущую дату. На глобальном валютном рынке свопы являются крупнейшей категорией по обороту: в апреле 2025 г. на них приходилось около 42% общего FX-оборота, а среднедневной объем составлял около 4 трлн долл. [4]. Свопы используются для управления краткосрочным валютным фондированием, переноса сроков и хеджирования уже существующих позиций.</w:t>
      </w:r>
    </w:p>
    <w:p w14:paraId="4030D47A"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Выбор инструмента зависит от природы риска. Для известного платежа часто удобен форвард; для гибкого денежного потока - опцион; для стандартизированной позиции - фьючерс; для потребности временно заменить валюту фондирования - своп. На практике инструменты также комбинируются, а параметры хеджа регулярно пересматриваются при изменении размера и сроков базовой позиции.</w:t>
      </w:r>
    </w:p>
    <w:p w14:paraId="35960A0E"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 xml:space="preserve">Система управления валютным риском должна начинаться не с выбора дериватива, а с определения допустимого риска. Руководство компании устанавливает перечень валют, лимиты открытых позиций, допустимый горизонт и </w:t>
      </w:r>
      <w:r w:rsidRPr="00CA7396">
        <w:rPr>
          <w:rFonts w:ascii="Times New Roman" w:hAnsi="Times New Roman"/>
          <w:sz w:val="28"/>
          <w:szCs w:val="28"/>
        </w:rPr>
        <w:lastRenderedPageBreak/>
        <w:t>правила совершения хеджирующих сделок. Для крупных организаций эти функции обычно распределяются между казначейством, финансовой службой, риск-менеджментом и бухгалтерией.</w:t>
      </w:r>
    </w:p>
    <w:p w14:paraId="580C93A6"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Следующий элемент - централизованный учет. Валютные позиции необходимо видеть в едином реестре: банковские остатки, дебиторскую и кредиторскую задолженность, кредиты, прогнозируемые платежи, будущую выручку и производные инструменты. Без такого учета отдельные подразделения могут одновременно покупать и продавать валюту, создавая ненужную внутреннюю позицию.</w:t>
      </w:r>
    </w:p>
    <w:p w14:paraId="75893BF7"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Для оценки результата хеджа важно заранее определить его цель. Хедж может быть направлен на фиксирование бюджета, снижение волатильности прибыли, сохранение платежеспособности, защиту маржи или ограничение величины возможного убытка. Если цель не определена, формально прибыльный инструмент может оказаться плохим хеджем для конкретной операции.</w:t>
      </w:r>
    </w:p>
    <w:p w14:paraId="2CCE6BD1"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Современные данные BIS показывают, что использование форвардов, свопов и опционов остается частью обычной инфраструктуры управления валютной экспозицией. В 2025 г. оборот форвардов вырос на 60% относительно 2022 г., спот-операций - на 42%, а оборот валютных опционов более чем удвоился [4]. Рост объемов сам по себе не означает снижение риска, но показывает масштаб применения инструментов, позволяющих перераспределять его между участниками рынка.</w:t>
      </w:r>
    </w:p>
    <w:p w14:paraId="060AF8C9"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Практически разумная система управления валютным риском включает регулярный пересмотр позиции и сценариев. Лимиты должны учитывать стрессовые условия, когда ликвидность ухудшается, стоимость хеджа растет, а обычные статистические зависимости перестают работать. Кризис 2015 г. на рынке швейцарского франка показал, что даже длительно поддерживаемый официальный ориентир курса может быть изменен одномоментно, поэтому риск режима также должен учитываться в сценариях [9].</w:t>
      </w:r>
    </w:p>
    <w:p w14:paraId="6DF6F1E9" w14:textId="77777777" w:rsidR="00984BC5" w:rsidRPr="00CA7396" w:rsidRDefault="00984BC5" w:rsidP="00CA7396">
      <w:pPr>
        <w:spacing w:line="240" w:lineRule="auto"/>
        <w:jc w:val="both"/>
        <w:rPr>
          <w:rFonts w:ascii="Times New Roman" w:hAnsi="Times New Roman"/>
          <w:b/>
          <w:bCs/>
          <w:sz w:val="28"/>
          <w:szCs w:val="28"/>
        </w:rPr>
      </w:pPr>
      <w:r w:rsidRPr="00CA7396">
        <w:rPr>
          <w:rFonts w:ascii="Times New Roman" w:hAnsi="Times New Roman"/>
          <w:b/>
          <w:bCs/>
          <w:sz w:val="28"/>
          <w:szCs w:val="28"/>
        </w:rPr>
        <w:t>3. ИСТОРИЧЕСКИЕ КЕЙСЫ ВАЛЮТНЫХ РИСКОВ</w:t>
      </w:r>
    </w:p>
    <w:p w14:paraId="0CCE60D8"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Бреттон-Вудская система предполагала фиксированные, но корректируемые валютные курсы. Центральным элементом был доллар США, конвертируемый для официальных иностранных держателей в золото по установленной цене. Другие валюты поддерживали паритеты через интервенции и согласованный режим валютных курсов [1].</w:t>
      </w:r>
    </w:p>
    <w:p w14:paraId="6465EC06"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К концу 1960-х гг. накопились дисбалансы, связанные с дефицитом платежного баланса США, движением капитала и ростом долларовых обязательств за пределами страны. 15 августа 1971 г. США сообщили МВФ о прекращении свободной покупки и продажи золота для расчетов по международным операциям. МВФ фиксирует это как прекращение двух важнейших характеристик системы - паритетов и конвертируемости доллара [1].</w:t>
      </w:r>
    </w:p>
    <w:p w14:paraId="351C8CCE"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lastRenderedPageBreak/>
        <w:t>В декабре 1971 г. было заключено Смитсоновское соглашение, которое предусматривало изменение паритетов и расширение допустимых отклонений. Однако устойчивого решения проблемы оно не создало. В марте 1973 г. начался режим «generalized floating», при котором ведущие валюты стали в значительно большей степени определяться рынком [1].</w:t>
      </w:r>
    </w:p>
    <w:p w14:paraId="23528085"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Этот кейс важен для понимания валютного риска по двум причинам. Во-первых, многолетняя фиксация курса может создавать представление о стабильности, которое не сохраняется после изменения экономических условий. Во-вторых, переход к новому валютному режиму сам по себе является источником риска: компании получают необходимость работать с уже не фиксированной, а колеблющейся стоимостью валютных потоков. Распад Бреттон-Вудской системы стал одним из факторов формирования современного рынка управления валютными рисками [2].</w:t>
      </w:r>
    </w:p>
    <w:p w14:paraId="7784BD1D"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Мексиканский кризис 1994–1995 гг. показывает, как курсовой риск может быть связан со структурой государственного долга. В начале 1990-х гг. в страну активно поступал капитал, одновременно увеличивался дефицит текущего счета и формировались ожидания устойчивости управляемого курса. В 1994 г. ситуация ухудшилась: международные резервы начали быстро снижаться, а доля краткосрочного долга, индексированного к доллару, увеличилась [6].</w:t>
      </w:r>
    </w:p>
    <w:p w14:paraId="3A580470"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20 декабря 1994 г. власти объявили о расширении валютного коридора на 15%. Через два дня, после продолжения оттока резервов, от режима коридора отказались и перешли к плавающему курсу. По данным исследования IMF, курс песо, составлявший 3,47 песо за доллар 19 декабря, быстро сместился к уровню около 5,5 песо за доллар. С 20 декабря по 3 января 1995 г. песо ослаб примерно на 30% относительно уровня до девальвации [6].</w:t>
      </w:r>
    </w:p>
    <w:p w14:paraId="5DAEFCC0"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 xml:space="preserve">Особенность кризиса заключалась в том, что изменение курса затронуло не только валютный рынок. Сильный рост стоимости долларовых обязательств ухудшил положение государства и финансового сектора. К концу декабря 1994 г. объем </w:t>
      </w:r>
      <w:proofErr w:type="spellStart"/>
      <w:r w:rsidRPr="00CA7396">
        <w:rPr>
          <w:rFonts w:ascii="Times New Roman" w:hAnsi="Times New Roman"/>
          <w:sz w:val="28"/>
          <w:szCs w:val="28"/>
        </w:rPr>
        <w:t>Tesobonos</w:t>
      </w:r>
      <w:proofErr w:type="spellEnd"/>
      <w:r w:rsidRPr="00CA7396">
        <w:rPr>
          <w:rFonts w:ascii="Times New Roman" w:hAnsi="Times New Roman"/>
          <w:sz w:val="28"/>
          <w:szCs w:val="28"/>
        </w:rPr>
        <w:t xml:space="preserve"> - государственных инструментов, связанных с долларом, - составлял около 29 млрд долл. США по тогдашнему обменному курсу [6]. Таким образом, часть валютного риска через структуру государственного долга фактически была передана на баланс государства.</w:t>
      </w:r>
    </w:p>
    <w:p w14:paraId="1D233735"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После кризиса международные организации уделяли больше внимания сочетанию краткосрочных обязательств, уровня резервов и режима курса. Мексиканский пример показал, что риск может долго оставаться скрытым, пока инвесторы считают существующую систему устойчивой. Когда доверие меняется, расходование резервов и рефинансирование краткосрочных обязательств становятся самостоятельными источниками давления на валюту [6; 8].</w:t>
      </w:r>
    </w:p>
    <w:p w14:paraId="6AEB5E7C"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 xml:space="preserve">Азиатский финансовый кризис начался летом 1997 г. с давления на тайский бат. До кризиса Таиланд длительное время поддерживал привязку к доллару. При этом накапливались текущий дефицит, краткосрочный внешний долг и проблемы </w:t>
      </w:r>
      <w:r w:rsidRPr="00CA7396">
        <w:rPr>
          <w:rFonts w:ascii="Times New Roman" w:hAnsi="Times New Roman"/>
          <w:sz w:val="28"/>
          <w:szCs w:val="28"/>
        </w:rPr>
        <w:lastRenderedPageBreak/>
        <w:t>финансового сектора. 2 июля 1997 г. власти отказались от фиксированного режима и ввели управляемое плавание бата. В течение июля валюта потеряла около 20% к доллару [7].</w:t>
      </w:r>
    </w:p>
    <w:p w14:paraId="62949CFA"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Девальвация имела важный побочный эффект: резко выросла нагрузка по обязательствам в иностранной валюте. IMF указывал, что после перехода к плавающему курсу увеличение реального бремени валютного долга усилило проблему неплатежей и проблемных кредитов [7]. Таким образом, первоначальный валютный шок стал кредитным и банковским шоком.</w:t>
      </w:r>
    </w:p>
    <w:p w14:paraId="7A570C3E"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Далее давление распространилось на Малайзию, Индонезию, Филиппины и Южную Корею. В Корее к началу декабря 1997 г. вон потерял более 20% стоимости к доллару, а usable reserves сократились с 22,5 млрд долл. в конце октября до 6 млрд долл. [10]. В экономике была высокая зависимость банков и корпораций от краткосрочного внешнего финансирования. Когда иностранные кредиторы стали отказываться от пролонгации займов, валютный риск превратился в кризис ликвидности.</w:t>
      </w:r>
    </w:p>
    <w:p w14:paraId="787D962A"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Российский кризис 1998 г. был связан с уже сложившейся уязвимостью бюджета и валютного режима. IMF указывает, что с 1997–1998 гг. на ситуацию дополнительно повлияли падение цен на основные экспортные товары, отток капитала после азиатского кризиса и устойчивые бюджетные проблемы. 17 августа 1998 г. власти объявили о расширении валютного коридора и фактической девальвации рубля, реструктуризации рублевого долга и 90-дневном моратории по части внешних обязательств частного сектора. В начале сентября рубль был отпущен в свободное плавание [8].</w:t>
      </w:r>
    </w:p>
    <w:p w14:paraId="04F6BBFA"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По оценке IMF, в сентябре 1998 г. курс рубля снизился примерно на 103% в рассматриваемой годовой/кризисной метрике, а месячная инфляция увеличилась с 3,7% в августе до 38% в сентябре. В банковском секторе многие организации имели значительные валютные позиции и столкнулись с одновременным обесценением активов, потерей ликвидности и нарушением платежей [8].</w:t>
      </w:r>
    </w:p>
    <w:p w14:paraId="08961CE5" w14:textId="42F66C0D" w:rsidR="00984BC5"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Сопоставление Таиланда и России показывает общую последовательность: попытка длительное время поддерживать курс, накопление внешних и внутренних дисбалансов, потеря резервов или доступа к рефинансированию, резкая девальвация и перенос валютного шока в банковский и реальный сектор. Различались причины кризисов, но сам механизм передачи валютного риска был схожим.</w:t>
      </w:r>
    </w:p>
    <w:p w14:paraId="36D3500E" w14:textId="77777777" w:rsidR="00CA7396" w:rsidRPr="00CA7396" w:rsidRDefault="00CA7396" w:rsidP="00CA7396">
      <w:pPr>
        <w:spacing w:line="240" w:lineRule="auto"/>
        <w:ind w:firstLine="709"/>
        <w:jc w:val="both"/>
        <w:rPr>
          <w:rFonts w:ascii="Times New Roman" w:hAnsi="Times New Roman"/>
          <w:sz w:val="28"/>
          <w:szCs w:val="28"/>
        </w:rPr>
      </w:pPr>
    </w:p>
    <w:p w14:paraId="6D43604C"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15 января 2015 г. Швейцарский национальный банк (SNB) отказался от минимального курса 1,20 швейцарского франка за евро. Одновременно центральный банк снизил целевой диапазон трехмесячного LIBOR и ставку по депозитам до -0,75% [9]. Решение стало примером того, как изменение политики центрального банка может одномоментно изменить валютный риск участников рынка.</w:t>
      </w:r>
    </w:p>
    <w:p w14:paraId="4CD223D2"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lastRenderedPageBreak/>
        <w:t>До отказа от минимального курса SNB заявлял о готовности покупать иностранную валюту в неограниченных количествах для поддержания ориентира. После изменения режима необходимость защищать установленный уровень исчезла. В результате франк резко укрепился, а компании и финансовые посредники, рассчитывавшие на сохранение нижней границы EUR/CHF, столкнулись с быстрым изменением стоимости открытых позиций [9].</w:t>
      </w:r>
    </w:p>
    <w:p w14:paraId="34B50289"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Кейс особенно показателен для управления риском режима. При наличии объявленного центральным банком ориентира участники рынка могут воспринимать вероятность выхода за него как ограниченную. Однако такое ограничение зависит от решения самого регулятора и от возможности продолжать интервенции. Поэтому стратегическое управление валютным риском должно учитывать не только статистическую волатильность курса, но и вероятность изменения правил его формирования.</w:t>
      </w:r>
    </w:p>
    <w:p w14:paraId="54BE6A3F" w14:textId="77777777" w:rsid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Для практического риск-менеджмента из этого кейса следует необходимость стресс-тестов, которые предусматривают резкое движение курса за короткое время. В таких сценариях важны не только итоговые убытки, но и способность брокеров, банков и компаний выполнить требования по обеспечению и расчетам. Наличие хеджа снижает риск изменения курса, но не отменяет риск ликвидности, контрагентский риск и операционный риск исполнения.</w:t>
      </w:r>
    </w:p>
    <w:p w14:paraId="6C20AE67" w14:textId="6FD836E2" w:rsidR="00984BC5" w:rsidRPr="00CA7396" w:rsidRDefault="00984BC5" w:rsidP="001063D3">
      <w:pPr>
        <w:spacing w:line="240" w:lineRule="auto"/>
        <w:jc w:val="both"/>
        <w:rPr>
          <w:rFonts w:ascii="Times New Roman" w:hAnsi="Times New Roman"/>
          <w:sz w:val="28"/>
          <w:szCs w:val="28"/>
        </w:rPr>
      </w:pPr>
      <w:r w:rsidRPr="00CA7396">
        <w:rPr>
          <w:rFonts w:ascii="Times New Roman" w:hAnsi="Times New Roman"/>
          <w:b/>
          <w:bCs/>
          <w:sz w:val="28"/>
          <w:szCs w:val="28"/>
        </w:rPr>
        <w:t>ЗАКЛЮЧЕНИЕ</w:t>
      </w:r>
    </w:p>
    <w:p w14:paraId="3CCF9F67"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Валютный риск представляет собой возможность финансовых потерь или изменения стоимости будущих денежных потоков вследствие неблагоприятного изменения обменного курса. Для предприятий он проявляется в транзакционной, трансляционной и экономической экспозиции. Для банков и государства дополнительно имеет значение системный эффект через структуру внешнего долга, валютные позиции, резервы и доступ к международному финансированию.</w:t>
      </w:r>
    </w:p>
    <w:p w14:paraId="0423012C"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Оценка валютного риска должна начинаться с формирования полной валютной позиции по суммам и срокам. Простого наблюдения за текущей котировкой недостаточно. Необходимы сценарный анализ, стресс-тестирование и контроль лимитов. Чем выше доля краткосрочных обязательств в иностранной валюте и чем меньше запас ликвидности, тем сильнее потенциальный эффект девальвации.</w:t>
      </w:r>
    </w:p>
    <w:p w14:paraId="4DF0A4CA"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Форварды, фьючерсы, опционы и валютные свопы позволяют перераспределять или ограничивать валютный риск. При этом выбор инструмента должен соответствовать источнику риска и сроку денежного потока. Хеджирование не является самостоятельной заменой финансовой политики: сначала определяется экономическая экспозиция, затем устанавливается допустимый уровень риска и только после этого выбирается инструмент.</w:t>
      </w:r>
    </w:p>
    <w:p w14:paraId="23EEAEE1"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 xml:space="preserve">Исторические кейсы 1971–1973, 1994–1995, 1997–1998 и 2015 гг. различаются по причинам, валютным режимам и масштабам последствий. Общей чертой является то, что валютный риск усиливался при сочетании фиксированного или жестко </w:t>
      </w:r>
      <w:r w:rsidRPr="00CA7396">
        <w:rPr>
          <w:rFonts w:ascii="Times New Roman" w:hAnsi="Times New Roman"/>
          <w:sz w:val="28"/>
          <w:szCs w:val="28"/>
        </w:rPr>
        <w:lastRenderedPageBreak/>
        <w:t>управляемого курса, высокой доли внешнего долга, коротких сроков рефинансирования и снижения доверия к возможности властей поддерживать выбранный режим [1; 6; 7; 8; 9].</w:t>
      </w:r>
    </w:p>
    <w:p w14:paraId="16B7AAE2" w14:textId="77777777" w:rsidR="00984BC5" w:rsidRPr="00CA7396" w:rsidRDefault="00984BC5" w:rsidP="00CA7396">
      <w:pPr>
        <w:spacing w:line="240" w:lineRule="auto"/>
        <w:ind w:firstLine="709"/>
        <w:jc w:val="both"/>
        <w:rPr>
          <w:rFonts w:ascii="Times New Roman" w:hAnsi="Times New Roman"/>
          <w:sz w:val="28"/>
          <w:szCs w:val="28"/>
        </w:rPr>
      </w:pPr>
      <w:r w:rsidRPr="00CA7396">
        <w:rPr>
          <w:rFonts w:ascii="Times New Roman" w:hAnsi="Times New Roman"/>
          <w:sz w:val="28"/>
          <w:szCs w:val="28"/>
        </w:rPr>
        <w:t>Для организации практической системы управления валютным риском целесообразно регулярно пересматривать открытую позицию, отдельно оценивать риск уже заключенных и прогнозируемых операций, устанавливать лимиты по валютам и срокам, проводить стресс-тесты на резкие изменения курса и использовать хеджирующие инструменты только в связи с конкретной экономической экспозицией. Такая система позволяет не исключить валютный риск, а сделать его величину управляемой и заранее учитывать возможные последствия изменения курса.</w:t>
      </w:r>
    </w:p>
    <w:p w14:paraId="16F7087B" w14:textId="77777777" w:rsidR="001063D3" w:rsidRPr="00AA1D34" w:rsidRDefault="001063D3" w:rsidP="001063D3">
      <w:pPr>
        <w:spacing w:line="240" w:lineRule="auto"/>
        <w:jc w:val="both"/>
        <w:rPr>
          <w:rFonts w:ascii="Times New Roman" w:hAnsi="Times New Roman"/>
          <w:b/>
          <w:bCs/>
          <w:sz w:val="28"/>
          <w:szCs w:val="28"/>
          <w:lang w:val="en-US"/>
        </w:rPr>
      </w:pPr>
      <w:r w:rsidRPr="001063D3">
        <w:rPr>
          <w:rFonts w:ascii="Times New Roman" w:hAnsi="Times New Roman"/>
          <w:b/>
          <w:bCs/>
          <w:sz w:val="28"/>
          <w:szCs w:val="28"/>
        </w:rPr>
        <w:t>СПИСОК</w:t>
      </w:r>
      <w:r w:rsidRPr="00AA1D34">
        <w:rPr>
          <w:rFonts w:ascii="Times New Roman" w:hAnsi="Times New Roman"/>
          <w:b/>
          <w:bCs/>
          <w:sz w:val="28"/>
          <w:szCs w:val="28"/>
          <w:lang w:val="en-US"/>
        </w:rPr>
        <w:t xml:space="preserve"> </w:t>
      </w:r>
      <w:r w:rsidRPr="001063D3">
        <w:rPr>
          <w:rFonts w:ascii="Times New Roman" w:hAnsi="Times New Roman"/>
          <w:b/>
          <w:bCs/>
          <w:sz w:val="28"/>
          <w:szCs w:val="28"/>
        </w:rPr>
        <w:t>ЛИТЕРАТУРЫ</w:t>
      </w:r>
    </w:p>
    <w:p w14:paraId="1E0D0298" w14:textId="46C55118" w:rsidR="001063D3" w:rsidRPr="001063D3" w:rsidRDefault="001063D3" w:rsidP="00AA1D34">
      <w:pPr>
        <w:spacing w:line="240" w:lineRule="auto"/>
        <w:ind w:firstLine="709"/>
        <w:rPr>
          <w:rFonts w:ascii="Times New Roman" w:hAnsi="Times New Roman"/>
          <w:sz w:val="28"/>
          <w:szCs w:val="28"/>
          <w:lang w:val="en-US"/>
        </w:rPr>
      </w:pPr>
      <w:r w:rsidRPr="001063D3">
        <w:rPr>
          <w:rFonts w:ascii="Times New Roman" w:hAnsi="Times New Roman"/>
          <w:sz w:val="28"/>
          <w:szCs w:val="28"/>
          <w:lang w:val="en-US"/>
        </w:rPr>
        <w:t>1. IMF. IMF Chronology: IMF evolves in response to over half a century of challenge and change [</w:t>
      </w:r>
      <w:r w:rsidRPr="001063D3">
        <w:rPr>
          <w:rFonts w:ascii="Times New Roman" w:hAnsi="Times New Roman"/>
          <w:sz w:val="28"/>
          <w:szCs w:val="28"/>
        </w:rPr>
        <w:t>Электронный</w:t>
      </w:r>
      <w:r w:rsidRPr="001063D3">
        <w:rPr>
          <w:rFonts w:ascii="Times New Roman" w:hAnsi="Times New Roman"/>
          <w:sz w:val="28"/>
          <w:szCs w:val="28"/>
          <w:lang w:val="en-US"/>
        </w:rPr>
        <w:t xml:space="preserve"> </w:t>
      </w:r>
      <w:r w:rsidRPr="001063D3">
        <w:rPr>
          <w:rFonts w:ascii="Times New Roman" w:hAnsi="Times New Roman"/>
          <w:sz w:val="28"/>
          <w:szCs w:val="28"/>
        </w:rPr>
        <w:t>ресурс</w:t>
      </w:r>
      <w:r w:rsidRPr="001063D3">
        <w:rPr>
          <w:rFonts w:ascii="Times New Roman" w:hAnsi="Times New Roman"/>
          <w:sz w:val="28"/>
          <w:szCs w:val="28"/>
          <w:lang w:val="en-US"/>
        </w:rPr>
        <w:t xml:space="preserve">]. - 1998. - URL: </w:t>
      </w:r>
      <w:hyperlink r:id="rId6" w:history="1">
        <w:r w:rsidRPr="00470446">
          <w:rPr>
            <w:rStyle w:val="af0"/>
            <w:rFonts w:ascii="Times New Roman" w:hAnsi="Times New Roman"/>
            <w:sz w:val="28"/>
            <w:szCs w:val="28"/>
            <w:lang w:val="en-US"/>
          </w:rPr>
          <w:t>https://www.elibrary.imf.org/view/journals/023/0028/000/article-A020-en.xml</w:t>
        </w:r>
      </w:hyperlink>
      <w:r w:rsidRPr="001063D3">
        <w:rPr>
          <w:rFonts w:ascii="Times New Roman" w:hAnsi="Times New Roman"/>
          <w:sz w:val="28"/>
          <w:szCs w:val="28"/>
          <w:lang w:val="en-US"/>
        </w:rPr>
        <w:tab/>
        <w:t xml:space="preserve">             </w:t>
      </w:r>
      <w:r w:rsidRPr="001063D3">
        <w:rPr>
          <w:rFonts w:ascii="Times New Roman" w:hAnsi="Times New Roman"/>
          <w:sz w:val="28"/>
          <w:szCs w:val="28"/>
          <w:lang w:val="en-US"/>
        </w:rPr>
        <w:tab/>
        <w:t>(</w:t>
      </w:r>
      <w:r w:rsidRPr="001063D3">
        <w:rPr>
          <w:rFonts w:ascii="Times New Roman" w:hAnsi="Times New Roman"/>
          <w:sz w:val="28"/>
          <w:szCs w:val="28"/>
        </w:rPr>
        <w:t>дата</w:t>
      </w:r>
      <w:r w:rsidRPr="001063D3">
        <w:rPr>
          <w:rFonts w:ascii="Times New Roman" w:hAnsi="Times New Roman"/>
          <w:sz w:val="28"/>
          <w:szCs w:val="28"/>
          <w:lang w:val="en-US"/>
        </w:rPr>
        <w:t xml:space="preserve"> </w:t>
      </w:r>
      <w:r w:rsidRPr="001063D3">
        <w:rPr>
          <w:rFonts w:ascii="Times New Roman" w:hAnsi="Times New Roman"/>
          <w:sz w:val="28"/>
          <w:szCs w:val="28"/>
        </w:rPr>
        <w:t>обращения</w:t>
      </w:r>
      <w:r w:rsidRPr="001063D3">
        <w:rPr>
          <w:rFonts w:ascii="Times New Roman" w:hAnsi="Times New Roman"/>
          <w:sz w:val="28"/>
          <w:szCs w:val="28"/>
          <w:lang w:val="en-US"/>
        </w:rPr>
        <w:t>: 16.09.2026).</w:t>
      </w:r>
    </w:p>
    <w:p w14:paraId="742945A0" w14:textId="0BCCC249" w:rsidR="001063D3" w:rsidRPr="001063D3" w:rsidRDefault="001063D3" w:rsidP="00AA1D34">
      <w:pPr>
        <w:spacing w:line="240" w:lineRule="auto"/>
        <w:ind w:firstLine="709"/>
        <w:rPr>
          <w:rFonts w:ascii="Times New Roman" w:hAnsi="Times New Roman"/>
          <w:sz w:val="28"/>
          <w:szCs w:val="28"/>
          <w:lang w:val="en-US"/>
        </w:rPr>
      </w:pPr>
      <w:r w:rsidRPr="001063D3">
        <w:rPr>
          <w:rFonts w:ascii="Times New Roman" w:hAnsi="Times New Roman"/>
          <w:sz w:val="28"/>
          <w:szCs w:val="28"/>
          <w:lang w:val="en-US"/>
        </w:rPr>
        <w:t xml:space="preserve">2. Ghosh A. R. From the History Books: The Rethinking of the International Monetary System // IMF Blog. - 2021. - URL: </w:t>
      </w:r>
      <w:hyperlink r:id="rId7" w:history="1">
        <w:r w:rsidRPr="00470446">
          <w:rPr>
            <w:rStyle w:val="af0"/>
            <w:rFonts w:ascii="Times New Roman" w:hAnsi="Times New Roman"/>
            <w:sz w:val="28"/>
            <w:szCs w:val="28"/>
            <w:lang w:val="en-US"/>
          </w:rPr>
          <w:t>https://www.imf.org/en/Blogs/Articles/2021/08/16/from-the-history-books-the-rethinking-of-the-international-monetary-system</w:t>
        </w:r>
      </w:hyperlink>
      <w:r w:rsidRPr="001063D3">
        <w:rPr>
          <w:rFonts w:ascii="Times New Roman" w:hAnsi="Times New Roman"/>
          <w:sz w:val="28"/>
          <w:szCs w:val="28"/>
          <w:lang w:val="en-US"/>
        </w:rPr>
        <w:tab/>
        <w:t xml:space="preserve"> (</w:t>
      </w:r>
      <w:r w:rsidRPr="001063D3">
        <w:rPr>
          <w:rFonts w:ascii="Times New Roman" w:hAnsi="Times New Roman"/>
          <w:sz w:val="28"/>
          <w:szCs w:val="28"/>
        </w:rPr>
        <w:t>дата</w:t>
      </w:r>
      <w:r w:rsidRPr="001063D3">
        <w:rPr>
          <w:rFonts w:ascii="Times New Roman" w:hAnsi="Times New Roman"/>
          <w:sz w:val="28"/>
          <w:szCs w:val="28"/>
          <w:lang w:val="en-US"/>
        </w:rPr>
        <w:t xml:space="preserve"> </w:t>
      </w:r>
      <w:r w:rsidRPr="001063D3">
        <w:rPr>
          <w:rFonts w:ascii="Times New Roman" w:hAnsi="Times New Roman"/>
          <w:sz w:val="28"/>
          <w:szCs w:val="28"/>
        </w:rPr>
        <w:t>обращения</w:t>
      </w:r>
      <w:r w:rsidRPr="001063D3">
        <w:rPr>
          <w:rFonts w:ascii="Times New Roman" w:hAnsi="Times New Roman"/>
          <w:sz w:val="28"/>
          <w:szCs w:val="28"/>
          <w:lang w:val="en-US"/>
        </w:rPr>
        <w:t>: 16.09.2026).</w:t>
      </w:r>
    </w:p>
    <w:p w14:paraId="6E61051B" w14:textId="77777777" w:rsidR="001063D3" w:rsidRPr="00AA1D34" w:rsidRDefault="001063D3" w:rsidP="00AA1D34">
      <w:pPr>
        <w:spacing w:line="240" w:lineRule="auto"/>
        <w:ind w:firstLine="709"/>
        <w:rPr>
          <w:rFonts w:ascii="Times New Roman" w:hAnsi="Times New Roman"/>
          <w:sz w:val="28"/>
          <w:szCs w:val="28"/>
          <w:lang w:val="en-US"/>
        </w:rPr>
      </w:pPr>
      <w:r w:rsidRPr="00AA1D34">
        <w:rPr>
          <w:rFonts w:ascii="Times New Roman" w:hAnsi="Times New Roman"/>
          <w:sz w:val="28"/>
          <w:szCs w:val="28"/>
          <w:lang w:val="en-US"/>
        </w:rPr>
        <w:t>3. Brownlee R., Wilson B., Grayson L., Conroy R. M. Managing Foreign Exchange Risks. UVA-F-0601. - Darden School of Business, University of Virginia, 2008. - 21 p.</w:t>
      </w:r>
    </w:p>
    <w:p w14:paraId="1B0DD1ED" w14:textId="47A49979" w:rsidR="001063D3" w:rsidRPr="001063D3" w:rsidRDefault="001063D3" w:rsidP="00AA1D34">
      <w:pPr>
        <w:spacing w:line="240" w:lineRule="auto"/>
        <w:ind w:firstLine="709"/>
        <w:rPr>
          <w:rFonts w:ascii="Times New Roman" w:hAnsi="Times New Roman"/>
          <w:sz w:val="28"/>
          <w:szCs w:val="28"/>
          <w:lang w:val="en-US"/>
        </w:rPr>
      </w:pPr>
      <w:r w:rsidRPr="00AA1D34">
        <w:rPr>
          <w:rFonts w:ascii="Times New Roman" w:hAnsi="Times New Roman"/>
          <w:sz w:val="28"/>
          <w:szCs w:val="28"/>
          <w:lang w:val="en-US"/>
        </w:rPr>
        <w:t xml:space="preserve">4. Bank for International Settlements. </w:t>
      </w:r>
      <w:r w:rsidRPr="001063D3">
        <w:rPr>
          <w:rFonts w:ascii="Times New Roman" w:hAnsi="Times New Roman"/>
          <w:sz w:val="28"/>
          <w:szCs w:val="28"/>
          <w:lang w:val="en-US"/>
        </w:rPr>
        <w:t xml:space="preserve">OTC foreign exchange turnover in April 2025 // BIS. - 2025. - URL: </w:t>
      </w:r>
      <w:hyperlink r:id="rId8" w:history="1">
        <w:r w:rsidRPr="00470446">
          <w:rPr>
            <w:rStyle w:val="af0"/>
            <w:rFonts w:ascii="Times New Roman" w:hAnsi="Times New Roman"/>
            <w:sz w:val="28"/>
            <w:szCs w:val="28"/>
            <w:lang w:val="en-US"/>
          </w:rPr>
          <w:t>https://www.bis.org/publications/202509-commentary-otc-derivatives</w:t>
        </w:r>
      </w:hyperlink>
      <w:r w:rsidRPr="001063D3">
        <w:rPr>
          <w:rFonts w:ascii="Times New Roman" w:hAnsi="Times New Roman"/>
          <w:sz w:val="28"/>
          <w:szCs w:val="28"/>
          <w:lang w:val="en-US"/>
        </w:rPr>
        <w:tab/>
        <w:t xml:space="preserve"> (</w:t>
      </w:r>
      <w:r w:rsidRPr="001063D3">
        <w:rPr>
          <w:rFonts w:ascii="Times New Roman" w:hAnsi="Times New Roman"/>
          <w:sz w:val="28"/>
          <w:szCs w:val="28"/>
        </w:rPr>
        <w:t>дата</w:t>
      </w:r>
      <w:r w:rsidRPr="001063D3">
        <w:rPr>
          <w:rFonts w:ascii="Times New Roman" w:hAnsi="Times New Roman"/>
          <w:sz w:val="28"/>
          <w:szCs w:val="28"/>
          <w:lang w:val="en-US"/>
        </w:rPr>
        <w:t xml:space="preserve"> </w:t>
      </w:r>
      <w:r w:rsidRPr="001063D3">
        <w:rPr>
          <w:rFonts w:ascii="Times New Roman" w:hAnsi="Times New Roman"/>
          <w:sz w:val="28"/>
          <w:szCs w:val="28"/>
        </w:rPr>
        <w:t>обращения</w:t>
      </w:r>
      <w:r w:rsidRPr="001063D3">
        <w:rPr>
          <w:rFonts w:ascii="Times New Roman" w:hAnsi="Times New Roman"/>
          <w:sz w:val="28"/>
          <w:szCs w:val="28"/>
          <w:lang w:val="en-US"/>
        </w:rPr>
        <w:t>: 16.09.2026).</w:t>
      </w:r>
    </w:p>
    <w:p w14:paraId="7C3B20F9" w14:textId="6227549A" w:rsidR="001063D3" w:rsidRPr="001063D3" w:rsidRDefault="001063D3" w:rsidP="00AA1D34">
      <w:pPr>
        <w:spacing w:line="240" w:lineRule="auto"/>
        <w:ind w:firstLine="709"/>
        <w:rPr>
          <w:rFonts w:ascii="Times New Roman" w:hAnsi="Times New Roman"/>
          <w:sz w:val="28"/>
          <w:szCs w:val="28"/>
          <w:lang w:val="en-US"/>
        </w:rPr>
      </w:pPr>
      <w:r w:rsidRPr="00AA1D34">
        <w:rPr>
          <w:rFonts w:ascii="Times New Roman" w:hAnsi="Times New Roman"/>
          <w:sz w:val="28"/>
          <w:szCs w:val="28"/>
          <w:lang w:val="en-US"/>
        </w:rPr>
        <w:t xml:space="preserve">5. Bank for International Settlements. </w:t>
      </w:r>
      <w:r w:rsidRPr="001063D3">
        <w:rPr>
          <w:rFonts w:ascii="Times New Roman" w:hAnsi="Times New Roman"/>
          <w:sz w:val="28"/>
          <w:szCs w:val="28"/>
          <w:lang w:val="en-US"/>
        </w:rPr>
        <w:t xml:space="preserve">Triennial Central Bank Survey: OTC foreign exchange turnover in April 2025. - 2025. - URL: </w:t>
      </w:r>
      <w:hyperlink r:id="rId9" w:history="1">
        <w:r w:rsidRPr="00470446">
          <w:rPr>
            <w:rStyle w:val="af0"/>
            <w:rFonts w:ascii="Times New Roman" w:hAnsi="Times New Roman"/>
            <w:sz w:val="28"/>
            <w:szCs w:val="28"/>
            <w:lang w:val="en-US"/>
          </w:rPr>
          <w:t>https://www.bis.org/statistics/rpfx25_fx.pdf</w:t>
        </w:r>
      </w:hyperlink>
      <w:r w:rsidRPr="001063D3">
        <w:rPr>
          <w:rFonts w:ascii="Times New Roman" w:hAnsi="Times New Roman"/>
          <w:sz w:val="28"/>
          <w:szCs w:val="28"/>
          <w:lang w:val="en-US"/>
        </w:rPr>
        <w:t xml:space="preserve"> </w:t>
      </w:r>
      <w:r w:rsidRPr="001063D3">
        <w:rPr>
          <w:rFonts w:ascii="Times New Roman" w:hAnsi="Times New Roman"/>
          <w:sz w:val="28"/>
          <w:szCs w:val="28"/>
          <w:lang w:val="en-US"/>
        </w:rPr>
        <w:tab/>
        <w:t>(</w:t>
      </w:r>
      <w:r w:rsidRPr="001063D3">
        <w:rPr>
          <w:rFonts w:ascii="Times New Roman" w:hAnsi="Times New Roman"/>
          <w:sz w:val="28"/>
          <w:szCs w:val="28"/>
        </w:rPr>
        <w:t>дата</w:t>
      </w:r>
      <w:r w:rsidRPr="001063D3">
        <w:rPr>
          <w:rFonts w:ascii="Times New Roman" w:hAnsi="Times New Roman"/>
          <w:sz w:val="28"/>
          <w:szCs w:val="28"/>
          <w:lang w:val="en-US"/>
        </w:rPr>
        <w:t xml:space="preserve"> </w:t>
      </w:r>
      <w:r w:rsidRPr="001063D3">
        <w:rPr>
          <w:rFonts w:ascii="Times New Roman" w:hAnsi="Times New Roman"/>
          <w:sz w:val="28"/>
          <w:szCs w:val="28"/>
        </w:rPr>
        <w:t>обращения</w:t>
      </w:r>
      <w:r w:rsidRPr="001063D3">
        <w:rPr>
          <w:rFonts w:ascii="Times New Roman" w:hAnsi="Times New Roman"/>
          <w:sz w:val="28"/>
          <w:szCs w:val="28"/>
          <w:lang w:val="en-US"/>
        </w:rPr>
        <w:t>: 16.09.2026).</w:t>
      </w:r>
    </w:p>
    <w:p w14:paraId="036CF349" w14:textId="71CBB9E6" w:rsidR="001063D3" w:rsidRPr="001063D3" w:rsidRDefault="001063D3" w:rsidP="00AA1D34">
      <w:pPr>
        <w:spacing w:line="240" w:lineRule="auto"/>
        <w:ind w:firstLine="709"/>
        <w:rPr>
          <w:rFonts w:ascii="Times New Roman" w:hAnsi="Times New Roman"/>
          <w:sz w:val="28"/>
          <w:szCs w:val="28"/>
          <w:lang w:val="en-US"/>
        </w:rPr>
      </w:pPr>
      <w:r w:rsidRPr="00AA1D34">
        <w:rPr>
          <w:rFonts w:ascii="Times New Roman" w:hAnsi="Times New Roman"/>
          <w:sz w:val="28"/>
          <w:szCs w:val="28"/>
          <w:lang w:val="en-US"/>
        </w:rPr>
        <w:t xml:space="preserve">6. IMF. The Mexican Peso Crisis. </w:t>
      </w:r>
      <w:r w:rsidRPr="001063D3">
        <w:rPr>
          <w:rFonts w:ascii="Times New Roman" w:hAnsi="Times New Roman"/>
          <w:sz w:val="28"/>
          <w:szCs w:val="28"/>
          <w:lang w:val="en-US"/>
        </w:rPr>
        <w:t xml:space="preserve">IMF Working Paper 1996/006. - 1996. - URL: </w:t>
      </w:r>
      <w:hyperlink r:id="rId10" w:history="1">
        <w:r w:rsidRPr="001063D3">
          <w:rPr>
            <w:rStyle w:val="af0"/>
            <w:rFonts w:ascii="Times New Roman" w:hAnsi="Times New Roman"/>
            <w:sz w:val="28"/>
            <w:szCs w:val="28"/>
            <w:lang w:val="en-US"/>
          </w:rPr>
          <w:t>https://www.elibrary.imf.org/view/journals/001/1996/006/article-A001-en.xml</w:t>
        </w:r>
      </w:hyperlink>
      <w:r w:rsidRPr="001063D3">
        <w:rPr>
          <w:rFonts w:ascii="Times New Roman" w:hAnsi="Times New Roman"/>
          <w:sz w:val="28"/>
          <w:szCs w:val="28"/>
          <w:lang w:val="en-US"/>
        </w:rPr>
        <w:t xml:space="preserve"> </w:t>
      </w:r>
      <w:r w:rsidRPr="001063D3">
        <w:rPr>
          <w:rFonts w:ascii="Times New Roman" w:hAnsi="Times New Roman"/>
          <w:sz w:val="28"/>
          <w:szCs w:val="28"/>
          <w:lang w:val="en-US"/>
        </w:rPr>
        <w:tab/>
      </w:r>
      <w:r w:rsidRPr="001063D3">
        <w:rPr>
          <w:rFonts w:ascii="Times New Roman" w:hAnsi="Times New Roman"/>
          <w:sz w:val="28"/>
          <w:szCs w:val="28"/>
          <w:lang w:val="en-US"/>
        </w:rPr>
        <w:tab/>
        <w:t>(</w:t>
      </w:r>
      <w:r w:rsidRPr="001063D3">
        <w:rPr>
          <w:rFonts w:ascii="Times New Roman" w:hAnsi="Times New Roman"/>
          <w:sz w:val="28"/>
          <w:szCs w:val="28"/>
        </w:rPr>
        <w:t>дата</w:t>
      </w:r>
      <w:r w:rsidRPr="001063D3">
        <w:rPr>
          <w:rFonts w:ascii="Times New Roman" w:hAnsi="Times New Roman"/>
          <w:sz w:val="28"/>
          <w:szCs w:val="28"/>
          <w:lang w:val="en-US"/>
        </w:rPr>
        <w:t xml:space="preserve"> </w:t>
      </w:r>
      <w:r w:rsidRPr="001063D3">
        <w:rPr>
          <w:rFonts w:ascii="Times New Roman" w:hAnsi="Times New Roman"/>
          <w:sz w:val="28"/>
          <w:szCs w:val="28"/>
        </w:rPr>
        <w:t>обращения</w:t>
      </w:r>
      <w:r w:rsidRPr="001063D3">
        <w:rPr>
          <w:rFonts w:ascii="Times New Roman" w:hAnsi="Times New Roman"/>
          <w:sz w:val="28"/>
          <w:szCs w:val="28"/>
          <w:lang w:val="en-US"/>
        </w:rPr>
        <w:t>: 16.09.2026).</w:t>
      </w:r>
    </w:p>
    <w:p w14:paraId="05BDF0B2" w14:textId="10714701" w:rsidR="001063D3" w:rsidRPr="001063D3" w:rsidRDefault="001063D3" w:rsidP="00AA1D34">
      <w:pPr>
        <w:spacing w:line="240" w:lineRule="auto"/>
        <w:ind w:firstLine="709"/>
        <w:rPr>
          <w:rFonts w:ascii="Times New Roman" w:hAnsi="Times New Roman"/>
          <w:sz w:val="28"/>
          <w:szCs w:val="28"/>
          <w:lang w:val="en-US"/>
        </w:rPr>
      </w:pPr>
      <w:r w:rsidRPr="00AA1D34">
        <w:rPr>
          <w:rFonts w:ascii="Times New Roman" w:hAnsi="Times New Roman"/>
          <w:sz w:val="28"/>
          <w:szCs w:val="28"/>
          <w:lang w:val="en-US"/>
        </w:rPr>
        <w:t xml:space="preserve">7. IMF. Financial Sector Crisis and Restructuring: Lessons from Asia. </w:t>
      </w:r>
      <w:r w:rsidRPr="001063D3">
        <w:rPr>
          <w:rFonts w:ascii="Times New Roman" w:hAnsi="Times New Roman"/>
          <w:sz w:val="28"/>
          <w:szCs w:val="28"/>
          <w:lang w:val="en-US"/>
        </w:rPr>
        <w:t xml:space="preserve">Occasional Paper No. 188. - 1999. - URL: </w:t>
      </w:r>
      <w:hyperlink r:id="rId11" w:history="1">
        <w:r w:rsidRPr="00470446">
          <w:rPr>
            <w:rStyle w:val="af0"/>
            <w:rFonts w:ascii="Times New Roman" w:hAnsi="Times New Roman"/>
            <w:sz w:val="28"/>
            <w:szCs w:val="28"/>
            <w:lang w:val="en-US"/>
          </w:rPr>
          <w:t>https://www.imf.org/external/pubs/ft/op/opfinsec/op188.pdf</w:t>
        </w:r>
      </w:hyperlink>
      <w:r w:rsidRPr="001063D3">
        <w:rPr>
          <w:rFonts w:ascii="Times New Roman" w:hAnsi="Times New Roman"/>
          <w:sz w:val="28"/>
          <w:szCs w:val="28"/>
          <w:lang w:val="en-US"/>
        </w:rPr>
        <w:tab/>
        <w:t xml:space="preserve"> (</w:t>
      </w:r>
      <w:r w:rsidRPr="001063D3">
        <w:rPr>
          <w:rFonts w:ascii="Times New Roman" w:hAnsi="Times New Roman"/>
          <w:sz w:val="28"/>
          <w:szCs w:val="28"/>
        </w:rPr>
        <w:t>дата</w:t>
      </w:r>
      <w:r w:rsidRPr="001063D3">
        <w:rPr>
          <w:rFonts w:ascii="Times New Roman" w:hAnsi="Times New Roman"/>
          <w:sz w:val="28"/>
          <w:szCs w:val="28"/>
          <w:lang w:val="en-US"/>
        </w:rPr>
        <w:t xml:space="preserve"> </w:t>
      </w:r>
      <w:r w:rsidRPr="001063D3">
        <w:rPr>
          <w:rFonts w:ascii="Times New Roman" w:hAnsi="Times New Roman"/>
          <w:sz w:val="28"/>
          <w:szCs w:val="28"/>
        </w:rPr>
        <w:t>обращения</w:t>
      </w:r>
      <w:r w:rsidRPr="001063D3">
        <w:rPr>
          <w:rFonts w:ascii="Times New Roman" w:hAnsi="Times New Roman"/>
          <w:sz w:val="28"/>
          <w:szCs w:val="28"/>
          <w:lang w:val="en-US"/>
        </w:rPr>
        <w:t>: 16.09.2026).</w:t>
      </w:r>
    </w:p>
    <w:p w14:paraId="62C7807A" w14:textId="51A55BC1" w:rsidR="001063D3" w:rsidRPr="001063D3" w:rsidRDefault="001063D3" w:rsidP="00AA1D34">
      <w:pPr>
        <w:spacing w:line="240" w:lineRule="auto"/>
        <w:ind w:firstLine="709"/>
        <w:rPr>
          <w:rFonts w:ascii="Times New Roman" w:hAnsi="Times New Roman"/>
          <w:sz w:val="28"/>
          <w:szCs w:val="28"/>
          <w:lang w:val="en-US"/>
        </w:rPr>
      </w:pPr>
      <w:r w:rsidRPr="00AA1D34">
        <w:rPr>
          <w:rFonts w:ascii="Times New Roman" w:hAnsi="Times New Roman"/>
          <w:sz w:val="28"/>
          <w:szCs w:val="28"/>
          <w:lang w:val="en-US"/>
        </w:rPr>
        <w:t xml:space="preserve">8. IMF. </w:t>
      </w:r>
      <w:r w:rsidRPr="001063D3">
        <w:rPr>
          <w:rFonts w:ascii="Times New Roman" w:hAnsi="Times New Roman"/>
          <w:sz w:val="28"/>
          <w:szCs w:val="28"/>
          <w:lang w:val="en-US"/>
        </w:rPr>
        <w:t xml:space="preserve">Russia: 1998 crisis and exchange-rate developments // IMF Staff Country Reports. - 1999–2004. - URL: </w:t>
      </w:r>
      <w:hyperlink r:id="rId12" w:history="1">
        <w:r w:rsidRPr="001063D3">
          <w:rPr>
            <w:rStyle w:val="af0"/>
            <w:rFonts w:ascii="Times New Roman" w:hAnsi="Times New Roman"/>
            <w:sz w:val="28"/>
            <w:szCs w:val="28"/>
            <w:lang w:val="en-US"/>
          </w:rPr>
          <w:t>https://www.imf.org/en/news/articles/2015/09/14/01/49/pr9935</w:t>
        </w:r>
      </w:hyperlink>
      <w:r w:rsidRPr="001063D3">
        <w:rPr>
          <w:rFonts w:ascii="Times New Roman" w:hAnsi="Times New Roman"/>
          <w:sz w:val="28"/>
          <w:szCs w:val="28"/>
          <w:lang w:val="en-US"/>
        </w:rPr>
        <w:tab/>
      </w:r>
      <w:r w:rsidRPr="001063D3">
        <w:rPr>
          <w:rFonts w:ascii="Times New Roman" w:hAnsi="Times New Roman"/>
          <w:sz w:val="28"/>
          <w:szCs w:val="28"/>
          <w:lang w:val="en-US"/>
        </w:rPr>
        <w:tab/>
      </w:r>
      <w:r w:rsidRPr="001063D3">
        <w:rPr>
          <w:rFonts w:ascii="Times New Roman" w:hAnsi="Times New Roman"/>
          <w:sz w:val="28"/>
          <w:szCs w:val="28"/>
          <w:lang w:val="en-US"/>
        </w:rPr>
        <w:tab/>
      </w:r>
      <w:r w:rsidRPr="001063D3">
        <w:rPr>
          <w:rFonts w:ascii="Times New Roman" w:hAnsi="Times New Roman"/>
          <w:sz w:val="28"/>
          <w:szCs w:val="28"/>
          <w:lang w:val="en-US"/>
        </w:rPr>
        <w:tab/>
        <w:t xml:space="preserve"> (</w:t>
      </w:r>
      <w:r w:rsidRPr="001063D3">
        <w:rPr>
          <w:rFonts w:ascii="Times New Roman" w:hAnsi="Times New Roman"/>
          <w:sz w:val="28"/>
          <w:szCs w:val="28"/>
        </w:rPr>
        <w:t>дата</w:t>
      </w:r>
      <w:r w:rsidRPr="001063D3">
        <w:rPr>
          <w:rFonts w:ascii="Times New Roman" w:hAnsi="Times New Roman"/>
          <w:sz w:val="28"/>
          <w:szCs w:val="28"/>
          <w:lang w:val="en-US"/>
        </w:rPr>
        <w:t xml:space="preserve"> </w:t>
      </w:r>
      <w:r w:rsidRPr="001063D3">
        <w:rPr>
          <w:rFonts w:ascii="Times New Roman" w:hAnsi="Times New Roman"/>
          <w:sz w:val="28"/>
          <w:szCs w:val="28"/>
        </w:rPr>
        <w:t>обращения</w:t>
      </w:r>
      <w:r w:rsidRPr="001063D3">
        <w:rPr>
          <w:rFonts w:ascii="Times New Roman" w:hAnsi="Times New Roman"/>
          <w:sz w:val="28"/>
          <w:szCs w:val="28"/>
          <w:lang w:val="en-US"/>
        </w:rPr>
        <w:t>: 16.09.2026).</w:t>
      </w:r>
    </w:p>
    <w:p w14:paraId="1A98C1C8" w14:textId="1049AB13" w:rsidR="001063D3" w:rsidRPr="001063D3" w:rsidRDefault="001063D3" w:rsidP="00AA1D34">
      <w:pPr>
        <w:spacing w:line="240" w:lineRule="auto"/>
        <w:ind w:firstLine="709"/>
        <w:rPr>
          <w:rFonts w:ascii="Times New Roman" w:hAnsi="Times New Roman"/>
          <w:sz w:val="28"/>
          <w:szCs w:val="28"/>
          <w:lang w:val="en-US"/>
        </w:rPr>
      </w:pPr>
      <w:r w:rsidRPr="00AA1D34">
        <w:rPr>
          <w:rFonts w:ascii="Times New Roman" w:hAnsi="Times New Roman"/>
          <w:sz w:val="28"/>
          <w:szCs w:val="28"/>
          <w:lang w:val="en-US"/>
        </w:rPr>
        <w:lastRenderedPageBreak/>
        <w:t xml:space="preserve">9. Swiss National Bank. Swiss National Bank discontinues minimum exchange rate and lowers interest rate to -0.75%. </w:t>
      </w:r>
      <w:r w:rsidRPr="001063D3">
        <w:rPr>
          <w:rFonts w:ascii="Times New Roman" w:hAnsi="Times New Roman"/>
          <w:sz w:val="28"/>
          <w:szCs w:val="28"/>
          <w:lang w:val="en-US"/>
        </w:rPr>
        <w:t xml:space="preserve">Press release, 15 January 2015. - URL: </w:t>
      </w:r>
      <w:hyperlink r:id="rId13" w:history="1">
        <w:r w:rsidRPr="001063D3">
          <w:rPr>
            <w:rStyle w:val="af0"/>
            <w:rFonts w:ascii="Times New Roman" w:hAnsi="Times New Roman"/>
            <w:sz w:val="28"/>
            <w:szCs w:val="28"/>
            <w:lang w:val="en-US"/>
          </w:rPr>
          <w:t>https://www.snb.ch/en/publications/communication/press-releases/2015/pre_20150115</w:t>
        </w:r>
      </w:hyperlink>
      <w:r w:rsidRPr="001063D3">
        <w:rPr>
          <w:rFonts w:ascii="Times New Roman" w:hAnsi="Times New Roman"/>
          <w:sz w:val="28"/>
          <w:szCs w:val="28"/>
          <w:lang w:val="en-US"/>
        </w:rPr>
        <w:tab/>
        <w:t xml:space="preserve"> (</w:t>
      </w:r>
      <w:r w:rsidRPr="001063D3">
        <w:rPr>
          <w:rFonts w:ascii="Times New Roman" w:hAnsi="Times New Roman"/>
          <w:sz w:val="28"/>
          <w:szCs w:val="28"/>
        </w:rPr>
        <w:t>дата</w:t>
      </w:r>
      <w:r w:rsidRPr="001063D3">
        <w:rPr>
          <w:rFonts w:ascii="Times New Roman" w:hAnsi="Times New Roman"/>
          <w:sz w:val="28"/>
          <w:szCs w:val="28"/>
          <w:lang w:val="en-US"/>
        </w:rPr>
        <w:t xml:space="preserve"> </w:t>
      </w:r>
      <w:r w:rsidRPr="001063D3">
        <w:rPr>
          <w:rFonts w:ascii="Times New Roman" w:hAnsi="Times New Roman"/>
          <w:sz w:val="28"/>
          <w:szCs w:val="28"/>
        </w:rPr>
        <w:t>обращения</w:t>
      </w:r>
      <w:r w:rsidRPr="001063D3">
        <w:rPr>
          <w:rFonts w:ascii="Times New Roman" w:hAnsi="Times New Roman"/>
          <w:sz w:val="28"/>
          <w:szCs w:val="28"/>
          <w:lang w:val="en-US"/>
        </w:rPr>
        <w:t>: 16.09.2026).</w:t>
      </w:r>
    </w:p>
    <w:p w14:paraId="714ED9FD" w14:textId="5B0B4EBB" w:rsidR="001063D3" w:rsidRPr="001063D3" w:rsidRDefault="001063D3" w:rsidP="00AA1D34">
      <w:pPr>
        <w:spacing w:line="240" w:lineRule="auto"/>
        <w:ind w:firstLine="709"/>
        <w:rPr>
          <w:rFonts w:ascii="Times New Roman" w:hAnsi="Times New Roman"/>
          <w:sz w:val="28"/>
          <w:szCs w:val="28"/>
          <w:lang w:val="en-US"/>
        </w:rPr>
      </w:pPr>
      <w:r w:rsidRPr="00AA1D34">
        <w:rPr>
          <w:rFonts w:ascii="Times New Roman" w:hAnsi="Times New Roman"/>
          <w:sz w:val="28"/>
          <w:szCs w:val="28"/>
          <w:lang w:val="en-US"/>
        </w:rPr>
        <w:t xml:space="preserve">10. IMF. The Korean Financial Crisis of 1997 - A Strategy of Financial Sector Reform. </w:t>
      </w:r>
      <w:r w:rsidRPr="001063D3">
        <w:rPr>
          <w:rFonts w:ascii="Times New Roman" w:hAnsi="Times New Roman"/>
          <w:sz w:val="28"/>
          <w:szCs w:val="28"/>
          <w:lang w:val="en-US"/>
        </w:rPr>
        <w:t xml:space="preserve">IMF Working Paper 1999/028. - 1999. - URL: </w:t>
      </w:r>
      <w:hyperlink r:id="rId14" w:history="1">
        <w:r w:rsidRPr="001063D3">
          <w:rPr>
            <w:rStyle w:val="af0"/>
            <w:rFonts w:ascii="Times New Roman" w:hAnsi="Times New Roman"/>
            <w:sz w:val="28"/>
            <w:szCs w:val="28"/>
            <w:lang w:val="en-US"/>
          </w:rPr>
          <w:t>https://www.elibrary.imf.org/view/journals/001/1999/028/article-A001-en.xml</w:t>
        </w:r>
      </w:hyperlink>
      <w:r w:rsidRPr="001063D3">
        <w:rPr>
          <w:rFonts w:ascii="Times New Roman" w:hAnsi="Times New Roman"/>
          <w:sz w:val="28"/>
          <w:szCs w:val="28"/>
          <w:lang w:val="en-US"/>
        </w:rPr>
        <w:tab/>
      </w:r>
      <w:r w:rsidRPr="001063D3">
        <w:rPr>
          <w:rFonts w:ascii="Times New Roman" w:hAnsi="Times New Roman"/>
          <w:sz w:val="28"/>
          <w:szCs w:val="28"/>
          <w:lang w:val="en-US"/>
        </w:rPr>
        <w:tab/>
        <w:t xml:space="preserve"> (</w:t>
      </w:r>
      <w:r w:rsidRPr="001063D3">
        <w:rPr>
          <w:rFonts w:ascii="Times New Roman" w:hAnsi="Times New Roman"/>
          <w:sz w:val="28"/>
          <w:szCs w:val="28"/>
        </w:rPr>
        <w:t>дата</w:t>
      </w:r>
      <w:r w:rsidRPr="001063D3">
        <w:rPr>
          <w:rFonts w:ascii="Times New Roman" w:hAnsi="Times New Roman"/>
          <w:sz w:val="28"/>
          <w:szCs w:val="28"/>
          <w:lang w:val="en-US"/>
        </w:rPr>
        <w:t xml:space="preserve"> </w:t>
      </w:r>
      <w:r w:rsidRPr="001063D3">
        <w:rPr>
          <w:rFonts w:ascii="Times New Roman" w:hAnsi="Times New Roman"/>
          <w:sz w:val="28"/>
          <w:szCs w:val="28"/>
        </w:rPr>
        <w:t>обращения</w:t>
      </w:r>
      <w:r w:rsidRPr="001063D3">
        <w:rPr>
          <w:rFonts w:ascii="Times New Roman" w:hAnsi="Times New Roman"/>
          <w:sz w:val="28"/>
          <w:szCs w:val="28"/>
          <w:lang w:val="en-US"/>
        </w:rPr>
        <w:t>: 16.09.2026).</w:t>
      </w:r>
    </w:p>
    <w:p w14:paraId="3D9321D4" w14:textId="77777777" w:rsidR="001063D3" w:rsidRPr="001063D3" w:rsidRDefault="001063D3" w:rsidP="001063D3">
      <w:pPr>
        <w:spacing w:line="240" w:lineRule="auto"/>
        <w:rPr>
          <w:rFonts w:ascii="Times New Roman" w:hAnsi="Times New Roman"/>
          <w:b/>
          <w:bCs/>
          <w:sz w:val="28"/>
          <w:szCs w:val="28"/>
        </w:rPr>
      </w:pPr>
      <w:r w:rsidRPr="001063D3">
        <w:rPr>
          <w:rFonts w:ascii="Times New Roman" w:hAnsi="Times New Roman"/>
          <w:b/>
          <w:bCs/>
          <w:sz w:val="28"/>
          <w:szCs w:val="28"/>
        </w:rPr>
        <w:t>ПРИЛОЖЕНИЕ А. СРАВНИТЕЛЬНАЯ ТАБЛИЦА ИСТОРИЧЕСКИХ КЕЙСОВ</w:t>
      </w:r>
    </w:p>
    <w:tbl>
      <w:tblPr>
        <w:tblStyle w:val="af2"/>
        <w:tblW w:w="10530" w:type="dxa"/>
        <w:jc w:val="center"/>
        <w:tblLook w:val="04A0" w:firstRow="1" w:lastRow="0" w:firstColumn="1" w:lastColumn="0" w:noHBand="0" w:noVBand="1"/>
      </w:tblPr>
      <w:tblGrid>
        <w:gridCol w:w="2105"/>
        <w:gridCol w:w="2106"/>
        <w:gridCol w:w="2107"/>
        <w:gridCol w:w="2107"/>
        <w:gridCol w:w="2105"/>
      </w:tblGrid>
      <w:tr w:rsidR="001063D3" w:rsidRPr="001063D3" w14:paraId="7D4746CA" w14:textId="77777777" w:rsidTr="001063D3">
        <w:trPr>
          <w:trHeight w:val="365"/>
          <w:jc w:val="center"/>
        </w:trPr>
        <w:tc>
          <w:tcPr>
            <w:tcW w:w="2105" w:type="dxa"/>
            <w:tcBorders>
              <w:top w:val="single" w:sz="4" w:space="0" w:color="auto"/>
              <w:left w:val="single" w:sz="4" w:space="0" w:color="auto"/>
              <w:bottom w:val="single" w:sz="4" w:space="0" w:color="auto"/>
              <w:right w:val="single" w:sz="4" w:space="0" w:color="auto"/>
            </w:tcBorders>
            <w:vAlign w:val="center"/>
            <w:hideMark/>
          </w:tcPr>
          <w:p w14:paraId="5085A718" w14:textId="77777777" w:rsidR="001063D3" w:rsidRPr="001063D3" w:rsidRDefault="001063D3" w:rsidP="001063D3">
            <w:pPr>
              <w:spacing w:line="240" w:lineRule="auto"/>
              <w:jc w:val="center"/>
              <w:rPr>
                <w:rFonts w:ascii="Times New Roman" w:hAnsi="Times New Roman"/>
                <w:b/>
                <w:bCs/>
                <w:sz w:val="18"/>
                <w:szCs w:val="18"/>
                <w:lang w:val="en-US"/>
              </w:rPr>
            </w:pPr>
            <w:proofErr w:type="spellStart"/>
            <w:r w:rsidRPr="001063D3">
              <w:rPr>
                <w:rFonts w:ascii="Times New Roman" w:hAnsi="Times New Roman"/>
                <w:b/>
                <w:bCs/>
                <w:sz w:val="18"/>
                <w:szCs w:val="18"/>
                <w:lang w:val="en-US"/>
              </w:rPr>
              <w:t>Кейс</w:t>
            </w:r>
            <w:proofErr w:type="spellEnd"/>
          </w:p>
        </w:tc>
        <w:tc>
          <w:tcPr>
            <w:tcW w:w="2106" w:type="dxa"/>
            <w:tcBorders>
              <w:top w:val="single" w:sz="4" w:space="0" w:color="auto"/>
              <w:left w:val="single" w:sz="4" w:space="0" w:color="auto"/>
              <w:bottom w:val="single" w:sz="4" w:space="0" w:color="auto"/>
              <w:right w:val="single" w:sz="4" w:space="0" w:color="auto"/>
            </w:tcBorders>
            <w:vAlign w:val="center"/>
            <w:hideMark/>
          </w:tcPr>
          <w:p w14:paraId="32681ED5" w14:textId="77777777" w:rsidR="001063D3" w:rsidRPr="001063D3" w:rsidRDefault="001063D3" w:rsidP="001063D3">
            <w:pPr>
              <w:spacing w:line="240" w:lineRule="auto"/>
              <w:jc w:val="center"/>
              <w:rPr>
                <w:rFonts w:ascii="Times New Roman" w:hAnsi="Times New Roman"/>
                <w:b/>
                <w:bCs/>
                <w:sz w:val="18"/>
                <w:szCs w:val="18"/>
                <w:lang w:val="en-US"/>
              </w:rPr>
            </w:pPr>
            <w:proofErr w:type="spellStart"/>
            <w:r w:rsidRPr="001063D3">
              <w:rPr>
                <w:rFonts w:ascii="Times New Roman" w:hAnsi="Times New Roman"/>
                <w:b/>
                <w:bCs/>
                <w:sz w:val="18"/>
                <w:szCs w:val="18"/>
                <w:lang w:val="en-US"/>
              </w:rPr>
              <w:t>Валютный</w:t>
            </w:r>
            <w:proofErr w:type="spellEnd"/>
            <w:r w:rsidRPr="001063D3">
              <w:rPr>
                <w:rFonts w:ascii="Times New Roman" w:hAnsi="Times New Roman"/>
                <w:b/>
                <w:bCs/>
                <w:sz w:val="18"/>
                <w:szCs w:val="18"/>
                <w:lang w:val="en-US"/>
              </w:rPr>
              <w:t xml:space="preserve"> </w:t>
            </w:r>
            <w:proofErr w:type="spellStart"/>
            <w:r w:rsidRPr="001063D3">
              <w:rPr>
                <w:rFonts w:ascii="Times New Roman" w:hAnsi="Times New Roman"/>
                <w:b/>
                <w:bCs/>
                <w:sz w:val="18"/>
                <w:szCs w:val="18"/>
                <w:lang w:val="en-US"/>
              </w:rPr>
              <w:t>режим</w:t>
            </w:r>
            <w:proofErr w:type="spellEnd"/>
          </w:p>
        </w:tc>
        <w:tc>
          <w:tcPr>
            <w:tcW w:w="2107" w:type="dxa"/>
            <w:tcBorders>
              <w:top w:val="single" w:sz="4" w:space="0" w:color="auto"/>
              <w:left w:val="single" w:sz="4" w:space="0" w:color="auto"/>
              <w:bottom w:val="single" w:sz="4" w:space="0" w:color="auto"/>
              <w:right w:val="single" w:sz="4" w:space="0" w:color="auto"/>
            </w:tcBorders>
            <w:vAlign w:val="center"/>
            <w:hideMark/>
          </w:tcPr>
          <w:p w14:paraId="5F73A66C" w14:textId="77777777" w:rsidR="001063D3" w:rsidRPr="001063D3" w:rsidRDefault="001063D3" w:rsidP="001063D3">
            <w:pPr>
              <w:spacing w:line="240" w:lineRule="auto"/>
              <w:jc w:val="center"/>
              <w:rPr>
                <w:rFonts w:ascii="Times New Roman" w:hAnsi="Times New Roman"/>
                <w:b/>
                <w:bCs/>
                <w:sz w:val="18"/>
                <w:szCs w:val="18"/>
                <w:lang w:val="en-US"/>
              </w:rPr>
            </w:pPr>
            <w:proofErr w:type="spellStart"/>
            <w:r w:rsidRPr="001063D3">
              <w:rPr>
                <w:rFonts w:ascii="Times New Roman" w:hAnsi="Times New Roman"/>
                <w:b/>
                <w:bCs/>
                <w:sz w:val="18"/>
                <w:szCs w:val="18"/>
                <w:lang w:val="en-US"/>
              </w:rPr>
              <w:t>Ключевой</w:t>
            </w:r>
            <w:proofErr w:type="spellEnd"/>
            <w:r w:rsidRPr="001063D3">
              <w:rPr>
                <w:rFonts w:ascii="Times New Roman" w:hAnsi="Times New Roman"/>
                <w:b/>
                <w:bCs/>
                <w:sz w:val="18"/>
                <w:szCs w:val="18"/>
                <w:lang w:val="en-US"/>
              </w:rPr>
              <w:t xml:space="preserve"> </w:t>
            </w:r>
            <w:proofErr w:type="spellStart"/>
            <w:r w:rsidRPr="001063D3">
              <w:rPr>
                <w:rFonts w:ascii="Times New Roman" w:hAnsi="Times New Roman"/>
                <w:b/>
                <w:bCs/>
                <w:sz w:val="18"/>
                <w:szCs w:val="18"/>
                <w:lang w:val="en-US"/>
              </w:rPr>
              <w:t>риск</w:t>
            </w:r>
            <w:proofErr w:type="spellEnd"/>
          </w:p>
        </w:tc>
        <w:tc>
          <w:tcPr>
            <w:tcW w:w="2107" w:type="dxa"/>
            <w:tcBorders>
              <w:top w:val="single" w:sz="4" w:space="0" w:color="auto"/>
              <w:left w:val="single" w:sz="4" w:space="0" w:color="auto"/>
              <w:bottom w:val="single" w:sz="4" w:space="0" w:color="auto"/>
              <w:right w:val="single" w:sz="4" w:space="0" w:color="auto"/>
            </w:tcBorders>
            <w:vAlign w:val="center"/>
            <w:hideMark/>
          </w:tcPr>
          <w:p w14:paraId="72C45D4A" w14:textId="77777777" w:rsidR="001063D3" w:rsidRPr="001063D3" w:rsidRDefault="001063D3" w:rsidP="001063D3">
            <w:pPr>
              <w:spacing w:line="240" w:lineRule="auto"/>
              <w:jc w:val="center"/>
              <w:rPr>
                <w:rFonts w:ascii="Times New Roman" w:hAnsi="Times New Roman"/>
                <w:b/>
                <w:bCs/>
                <w:sz w:val="18"/>
                <w:szCs w:val="18"/>
                <w:lang w:val="en-US"/>
              </w:rPr>
            </w:pPr>
            <w:proofErr w:type="spellStart"/>
            <w:r w:rsidRPr="001063D3">
              <w:rPr>
                <w:rFonts w:ascii="Times New Roman" w:hAnsi="Times New Roman"/>
                <w:b/>
                <w:bCs/>
                <w:sz w:val="18"/>
                <w:szCs w:val="18"/>
                <w:lang w:val="en-US"/>
              </w:rPr>
              <w:t>Событие</w:t>
            </w:r>
            <w:proofErr w:type="spellEnd"/>
          </w:p>
        </w:tc>
        <w:tc>
          <w:tcPr>
            <w:tcW w:w="2105" w:type="dxa"/>
            <w:tcBorders>
              <w:top w:val="single" w:sz="4" w:space="0" w:color="auto"/>
              <w:left w:val="single" w:sz="4" w:space="0" w:color="auto"/>
              <w:bottom w:val="single" w:sz="4" w:space="0" w:color="auto"/>
              <w:right w:val="single" w:sz="4" w:space="0" w:color="auto"/>
            </w:tcBorders>
            <w:vAlign w:val="center"/>
            <w:hideMark/>
          </w:tcPr>
          <w:p w14:paraId="723BDAD6" w14:textId="77777777" w:rsidR="001063D3" w:rsidRPr="001063D3" w:rsidRDefault="001063D3" w:rsidP="001063D3">
            <w:pPr>
              <w:spacing w:line="240" w:lineRule="auto"/>
              <w:jc w:val="center"/>
              <w:rPr>
                <w:rFonts w:ascii="Times New Roman" w:hAnsi="Times New Roman"/>
                <w:b/>
                <w:bCs/>
                <w:sz w:val="18"/>
                <w:szCs w:val="18"/>
                <w:lang w:val="en-US"/>
              </w:rPr>
            </w:pPr>
            <w:proofErr w:type="spellStart"/>
            <w:r w:rsidRPr="001063D3">
              <w:rPr>
                <w:rFonts w:ascii="Times New Roman" w:hAnsi="Times New Roman"/>
                <w:b/>
                <w:bCs/>
                <w:sz w:val="18"/>
                <w:szCs w:val="18"/>
                <w:lang w:val="en-US"/>
              </w:rPr>
              <w:t>Основной</w:t>
            </w:r>
            <w:proofErr w:type="spellEnd"/>
            <w:r w:rsidRPr="001063D3">
              <w:rPr>
                <w:rFonts w:ascii="Times New Roman" w:hAnsi="Times New Roman"/>
                <w:b/>
                <w:bCs/>
                <w:sz w:val="18"/>
                <w:szCs w:val="18"/>
                <w:lang w:val="en-US"/>
              </w:rPr>
              <w:t xml:space="preserve"> </w:t>
            </w:r>
            <w:proofErr w:type="spellStart"/>
            <w:r w:rsidRPr="001063D3">
              <w:rPr>
                <w:rFonts w:ascii="Times New Roman" w:hAnsi="Times New Roman"/>
                <w:b/>
                <w:bCs/>
                <w:sz w:val="18"/>
                <w:szCs w:val="18"/>
                <w:lang w:val="en-US"/>
              </w:rPr>
              <w:t>эффект</w:t>
            </w:r>
            <w:proofErr w:type="spellEnd"/>
          </w:p>
        </w:tc>
      </w:tr>
      <w:tr w:rsidR="001063D3" w:rsidRPr="001063D3" w14:paraId="07D2EB07" w14:textId="77777777" w:rsidTr="001063D3">
        <w:trPr>
          <w:trHeight w:val="752"/>
          <w:jc w:val="center"/>
        </w:trPr>
        <w:tc>
          <w:tcPr>
            <w:tcW w:w="2105" w:type="dxa"/>
            <w:tcBorders>
              <w:top w:val="single" w:sz="4" w:space="0" w:color="auto"/>
              <w:left w:val="single" w:sz="4" w:space="0" w:color="auto"/>
              <w:bottom w:val="single" w:sz="4" w:space="0" w:color="auto"/>
              <w:right w:val="single" w:sz="4" w:space="0" w:color="auto"/>
            </w:tcBorders>
            <w:vAlign w:val="center"/>
            <w:hideMark/>
          </w:tcPr>
          <w:p w14:paraId="3273A7BF" w14:textId="77777777" w:rsidR="001063D3" w:rsidRPr="001063D3" w:rsidRDefault="001063D3" w:rsidP="001063D3">
            <w:pPr>
              <w:spacing w:line="240" w:lineRule="auto"/>
              <w:jc w:val="center"/>
              <w:rPr>
                <w:rFonts w:ascii="Times New Roman" w:hAnsi="Times New Roman"/>
                <w:sz w:val="18"/>
                <w:szCs w:val="18"/>
                <w:lang w:val="en-US"/>
              </w:rPr>
            </w:pPr>
            <w:proofErr w:type="spellStart"/>
            <w:r w:rsidRPr="001063D3">
              <w:rPr>
                <w:rFonts w:ascii="Times New Roman" w:hAnsi="Times New Roman"/>
                <w:sz w:val="18"/>
                <w:szCs w:val="18"/>
                <w:lang w:val="en-US"/>
              </w:rPr>
              <w:t>Бреттон-Вудс</w:t>
            </w:r>
            <w:proofErr w:type="spellEnd"/>
            <w:r w:rsidRPr="001063D3">
              <w:rPr>
                <w:rFonts w:ascii="Times New Roman" w:hAnsi="Times New Roman"/>
                <w:sz w:val="18"/>
                <w:szCs w:val="18"/>
                <w:lang w:val="en-US"/>
              </w:rPr>
              <w:t>, 1971–1973</w:t>
            </w:r>
          </w:p>
        </w:tc>
        <w:tc>
          <w:tcPr>
            <w:tcW w:w="2106" w:type="dxa"/>
            <w:tcBorders>
              <w:top w:val="single" w:sz="4" w:space="0" w:color="auto"/>
              <w:left w:val="single" w:sz="4" w:space="0" w:color="auto"/>
              <w:bottom w:val="single" w:sz="4" w:space="0" w:color="auto"/>
              <w:right w:val="single" w:sz="4" w:space="0" w:color="auto"/>
            </w:tcBorders>
            <w:vAlign w:val="center"/>
            <w:hideMark/>
          </w:tcPr>
          <w:p w14:paraId="19F727AD" w14:textId="77777777" w:rsidR="001063D3" w:rsidRPr="001063D3" w:rsidRDefault="001063D3" w:rsidP="001063D3">
            <w:pPr>
              <w:spacing w:line="240" w:lineRule="auto"/>
              <w:jc w:val="center"/>
              <w:rPr>
                <w:rFonts w:ascii="Times New Roman" w:hAnsi="Times New Roman"/>
                <w:sz w:val="18"/>
                <w:szCs w:val="18"/>
                <w:lang w:val="en-US"/>
              </w:rPr>
            </w:pPr>
            <w:proofErr w:type="spellStart"/>
            <w:r w:rsidRPr="001063D3">
              <w:rPr>
                <w:rFonts w:ascii="Times New Roman" w:hAnsi="Times New Roman"/>
                <w:sz w:val="18"/>
                <w:szCs w:val="18"/>
                <w:lang w:val="en-US"/>
              </w:rPr>
              <w:t>Фиксированные</w:t>
            </w:r>
            <w:proofErr w:type="spellEnd"/>
            <w:r w:rsidRPr="001063D3">
              <w:rPr>
                <w:rFonts w:ascii="Times New Roman" w:hAnsi="Times New Roman"/>
                <w:sz w:val="18"/>
                <w:szCs w:val="18"/>
                <w:lang w:val="en-US"/>
              </w:rPr>
              <w:t xml:space="preserve"> </w:t>
            </w:r>
            <w:proofErr w:type="spellStart"/>
            <w:r w:rsidRPr="001063D3">
              <w:rPr>
                <w:rFonts w:ascii="Times New Roman" w:hAnsi="Times New Roman"/>
                <w:sz w:val="18"/>
                <w:szCs w:val="18"/>
                <w:lang w:val="en-US"/>
              </w:rPr>
              <w:t>паритеты</w:t>
            </w:r>
            <w:proofErr w:type="spellEnd"/>
          </w:p>
        </w:tc>
        <w:tc>
          <w:tcPr>
            <w:tcW w:w="2107" w:type="dxa"/>
            <w:tcBorders>
              <w:top w:val="single" w:sz="4" w:space="0" w:color="auto"/>
              <w:left w:val="single" w:sz="4" w:space="0" w:color="auto"/>
              <w:bottom w:val="single" w:sz="4" w:space="0" w:color="auto"/>
              <w:right w:val="single" w:sz="4" w:space="0" w:color="auto"/>
            </w:tcBorders>
            <w:vAlign w:val="center"/>
            <w:hideMark/>
          </w:tcPr>
          <w:p w14:paraId="39B9D0CB" w14:textId="77777777" w:rsidR="001063D3" w:rsidRPr="001063D3" w:rsidRDefault="001063D3" w:rsidP="001063D3">
            <w:pPr>
              <w:spacing w:line="240" w:lineRule="auto"/>
              <w:jc w:val="center"/>
              <w:rPr>
                <w:rFonts w:ascii="Times New Roman" w:hAnsi="Times New Roman"/>
                <w:sz w:val="18"/>
                <w:szCs w:val="18"/>
                <w:lang w:val="en-US"/>
              </w:rPr>
            </w:pPr>
            <w:proofErr w:type="spellStart"/>
            <w:r w:rsidRPr="001063D3">
              <w:rPr>
                <w:rFonts w:ascii="Times New Roman" w:hAnsi="Times New Roman"/>
                <w:sz w:val="18"/>
                <w:szCs w:val="18"/>
                <w:lang w:val="en-US"/>
              </w:rPr>
              <w:t>Риск</w:t>
            </w:r>
            <w:proofErr w:type="spellEnd"/>
            <w:r w:rsidRPr="001063D3">
              <w:rPr>
                <w:rFonts w:ascii="Times New Roman" w:hAnsi="Times New Roman"/>
                <w:sz w:val="18"/>
                <w:szCs w:val="18"/>
                <w:lang w:val="en-US"/>
              </w:rPr>
              <w:t xml:space="preserve"> </w:t>
            </w:r>
            <w:proofErr w:type="spellStart"/>
            <w:r w:rsidRPr="001063D3">
              <w:rPr>
                <w:rFonts w:ascii="Times New Roman" w:hAnsi="Times New Roman"/>
                <w:sz w:val="18"/>
                <w:szCs w:val="18"/>
                <w:lang w:val="en-US"/>
              </w:rPr>
              <w:t>смены</w:t>
            </w:r>
            <w:proofErr w:type="spellEnd"/>
            <w:r w:rsidRPr="001063D3">
              <w:rPr>
                <w:rFonts w:ascii="Times New Roman" w:hAnsi="Times New Roman"/>
                <w:sz w:val="18"/>
                <w:szCs w:val="18"/>
                <w:lang w:val="en-US"/>
              </w:rPr>
              <w:t xml:space="preserve"> </w:t>
            </w:r>
            <w:proofErr w:type="spellStart"/>
            <w:r w:rsidRPr="001063D3">
              <w:rPr>
                <w:rFonts w:ascii="Times New Roman" w:hAnsi="Times New Roman"/>
                <w:sz w:val="18"/>
                <w:szCs w:val="18"/>
                <w:lang w:val="en-US"/>
              </w:rPr>
              <w:t>режима</w:t>
            </w:r>
            <w:proofErr w:type="spellEnd"/>
          </w:p>
        </w:tc>
        <w:tc>
          <w:tcPr>
            <w:tcW w:w="2107" w:type="dxa"/>
            <w:tcBorders>
              <w:top w:val="single" w:sz="4" w:space="0" w:color="auto"/>
              <w:left w:val="single" w:sz="4" w:space="0" w:color="auto"/>
              <w:bottom w:val="single" w:sz="4" w:space="0" w:color="auto"/>
              <w:right w:val="single" w:sz="4" w:space="0" w:color="auto"/>
            </w:tcBorders>
            <w:vAlign w:val="center"/>
            <w:hideMark/>
          </w:tcPr>
          <w:p w14:paraId="288BD763" w14:textId="77777777" w:rsidR="001063D3" w:rsidRPr="001063D3" w:rsidRDefault="001063D3" w:rsidP="001063D3">
            <w:pPr>
              <w:spacing w:line="240" w:lineRule="auto"/>
              <w:jc w:val="center"/>
              <w:rPr>
                <w:rFonts w:ascii="Times New Roman" w:hAnsi="Times New Roman"/>
                <w:sz w:val="18"/>
                <w:szCs w:val="18"/>
              </w:rPr>
            </w:pPr>
            <w:r w:rsidRPr="001063D3">
              <w:rPr>
                <w:rFonts w:ascii="Times New Roman" w:hAnsi="Times New Roman"/>
                <w:sz w:val="18"/>
                <w:szCs w:val="18"/>
              </w:rPr>
              <w:t>Прекращение конвертируемости доллара в золото</w:t>
            </w:r>
          </w:p>
        </w:tc>
        <w:tc>
          <w:tcPr>
            <w:tcW w:w="2105" w:type="dxa"/>
            <w:tcBorders>
              <w:top w:val="single" w:sz="4" w:space="0" w:color="auto"/>
              <w:left w:val="single" w:sz="4" w:space="0" w:color="auto"/>
              <w:bottom w:val="single" w:sz="4" w:space="0" w:color="auto"/>
              <w:right w:val="single" w:sz="4" w:space="0" w:color="auto"/>
            </w:tcBorders>
            <w:vAlign w:val="center"/>
            <w:hideMark/>
          </w:tcPr>
          <w:p w14:paraId="17D2AA10" w14:textId="77777777" w:rsidR="001063D3" w:rsidRPr="001063D3" w:rsidRDefault="001063D3" w:rsidP="001063D3">
            <w:pPr>
              <w:spacing w:line="240" w:lineRule="auto"/>
              <w:jc w:val="center"/>
              <w:rPr>
                <w:rFonts w:ascii="Times New Roman" w:hAnsi="Times New Roman"/>
                <w:sz w:val="18"/>
                <w:szCs w:val="18"/>
              </w:rPr>
            </w:pPr>
            <w:r w:rsidRPr="001063D3">
              <w:rPr>
                <w:rFonts w:ascii="Times New Roman" w:hAnsi="Times New Roman"/>
                <w:sz w:val="18"/>
                <w:szCs w:val="18"/>
              </w:rPr>
              <w:t>Переход к более гибким курсам</w:t>
            </w:r>
          </w:p>
        </w:tc>
      </w:tr>
      <w:tr w:rsidR="001063D3" w:rsidRPr="001063D3" w14:paraId="1E0E32E9" w14:textId="77777777" w:rsidTr="001063D3">
        <w:trPr>
          <w:trHeight w:val="752"/>
          <w:jc w:val="center"/>
        </w:trPr>
        <w:tc>
          <w:tcPr>
            <w:tcW w:w="2105" w:type="dxa"/>
            <w:tcBorders>
              <w:top w:val="single" w:sz="4" w:space="0" w:color="auto"/>
              <w:left w:val="single" w:sz="4" w:space="0" w:color="auto"/>
              <w:bottom w:val="single" w:sz="4" w:space="0" w:color="auto"/>
              <w:right w:val="single" w:sz="4" w:space="0" w:color="auto"/>
            </w:tcBorders>
            <w:vAlign w:val="center"/>
            <w:hideMark/>
          </w:tcPr>
          <w:p w14:paraId="418F1C65" w14:textId="77777777" w:rsidR="001063D3" w:rsidRPr="001063D3" w:rsidRDefault="001063D3" w:rsidP="001063D3">
            <w:pPr>
              <w:spacing w:line="240" w:lineRule="auto"/>
              <w:jc w:val="center"/>
              <w:rPr>
                <w:rFonts w:ascii="Times New Roman" w:hAnsi="Times New Roman"/>
                <w:sz w:val="18"/>
                <w:szCs w:val="18"/>
                <w:lang w:val="en-US"/>
              </w:rPr>
            </w:pPr>
            <w:proofErr w:type="spellStart"/>
            <w:r w:rsidRPr="001063D3">
              <w:rPr>
                <w:rFonts w:ascii="Times New Roman" w:hAnsi="Times New Roman"/>
                <w:sz w:val="18"/>
                <w:szCs w:val="18"/>
                <w:lang w:val="en-US"/>
              </w:rPr>
              <w:t>Мексика</w:t>
            </w:r>
            <w:proofErr w:type="spellEnd"/>
            <w:r w:rsidRPr="001063D3">
              <w:rPr>
                <w:rFonts w:ascii="Times New Roman" w:hAnsi="Times New Roman"/>
                <w:sz w:val="18"/>
                <w:szCs w:val="18"/>
                <w:lang w:val="en-US"/>
              </w:rPr>
              <w:t>, 1994–1995</w:t>
            </w:r>
          </w:p>
        </w:tc>
        <w:tc>
          <w:tcPr>
            <w:tcW w:w="2106" w:type="dxa"/>
            <w:tcBorders>
              <w:top w:val="single" w:sz="4" w:space="0" w:color="auto"/>
              <w:left w:val="single" w:sz="4" w:space="0" w:color="auto"/>
              <w:bottom w:val="single" w:sz="4" w:space="0" w:color="auto"/>
              <w:right w:val="single" w:sz="4" w:space="0" w:color="auto"/>
            </w:tcBorders>
            <w:vAlign w:val="center"/>
            <w:hideMark/>
          </w:tcPr>
          <w:p w14:paraId="2A413904" w14:textId="77777777" w:rsidR="001063D3" w:rsidRPr="001063D3" w:rsidRDefault="001063D3" w:rsidP="001063D3">
            <w:pPr>
              <w:spacing w:line="240" w:lineRule="auto"/>
              <w:jc w:val="center"/>
              <w:rPr>
                <w:rFonts w:ascii="Times New Roman" w:hAnsi="Times New Roman"/>
                <w:sz w:val="18"/>
                <w:szCs w:val="18"/>
                <w:lang w:val="en-US"/>
              </w:rPr>
            </w:pPr>
            <w:r w:rsidRPr="001063D3">
              <w:rPr>
                <w:rFonts w:ascii="Times New Roman" w:hAnsi="Times New Roman"/>
                <w:sz w:val="18"/>
                <w:szCs w:val="18"/>
                <w:lang w:val="en-US"/>
              </w:rPr>
              <w:t xml:space="preserve">Управляемый </w:t>
            </w:r>
            <w:proofErr w:type="spellStart"/>
            <w:r w:rsidRPr="001063D3">
              <w:rPr>
                <w:rFonts w:ascii="Times New Roman" w:hAnsi="Times New Roman"/>
                <w:sz w:val="18"/>
                <w:szCs w:val="18"/>
                <w:lang w:val="en-US"/>
              </w:rPr>
              <w:t>курс</w:t>
            </w:r>
            <w:proofErr w:type="spellEnd"/>
            <w:r w:rsidRPr="001063D3">
              <w:rPr>
                <w:rFonts w:ascii="Times New Roman" w:hAnsi="Times New Roman"/>
                <w:sz w:val="18"/>
                <w:szCs w:val="18"/>
                <w:lang w:val="en-US"/>
              </w:rPr>
              <w:t xml:space="preserve"> / </w:t>
            </w:r>
            <w:proofErr w:type="spellStart"/>
            <w:r w:rsidRPr="001063D3">
              <w:rPr>
                <w:rFonts w:ascii="Times New Roman" w:hAnsi="Times New Roman"/>
                <w:sz w:val="18"/>
                <w:szCs w:val="18"/>
                <w:lang w:val="en-US"/>
              </w:rPr>
              <w:t>коридор</w:t>
            </w:r>
            <w:proofErr w:type="spellEnd"/>
          </w:p>
        </w:tc>
        <w:tc>
          <w:tcPr>
            <w:tcW w:w="2107" w:type="dxa"/>
            <w:tcBorders>
              <w:top w:val="single" w:sz="4" w:space="0" w:color="auto"/>
              <w:left w:val="single" w:sz="4" w:space="0" w:color="auto"/>
              <w:bottom w:val="single" w:sz="4" w:space="0" w:color="auto"/>
              <w:right w:val="single" w:sz="4" w:space="0" w:color="auto"/>
            </w:tcBorders>
            <w:vAlign w:val="center"/>
            <w:hideMark/>
          </w:tcPr>
          <w:p w14:paraId="23351EA1" w14:textId="77777777" w:rsidR="001063D3" w:rsidRPr="001063D3" w:rsidRDefault="001063D3" w:rsidP="001063D3">
            <w:pPr>
              <w:spacing w:line="240" w:lineRule="auto"/>
              <w:jc w:val="center"/>
              <w:rPr>
                <w:rFonts w:ascii="Times New Roman" w:hAnsi="Times New Roman"/>
                <w:sz w:val="18"/>
                <w:szCs w:val="18"/>
                <w:lang w:val="en-US"/>
              </w:rPr>
            </w:pPr>
            <w:proofErr w:type="spellStart"/>
            <w:r w:rsidRPr="001063D3">
              <w:rPr>
                <w:rFonts w:ascii="Times New Roman" w:hAnsi="Times New Roman"/>
                <w:sz w:val="18"/>
                <w:szCs w:val="18"/>
                <w:lang w:val="en-US"/>
              </w:rPr>
              <w:t>Резервы</w:t>
            </w:r>
            <w:proofErr w:type="spellEnd"/>
            <w:r w:rsidRPr="001063D3">
              <w:rPr>
                <w:rFonts w:ascii="Times New Roman" w:hAnsi="Times New Roman"/>
                <w:sz w:val="18"/>
                <w:szCs w:val="18"/>
                <w:lang w:val="en-US"/>
              </w:rPr>
              <w:t xml:space="preserve"> и </w:t>
            </w:r>
            <w:proofErr w:type="spellStart"/>
            <w:r w:rsidRPr="001063D3">
              <w:rPr>
                <w:rFonts w:ascii="Times New Roman" w:hAnsi="Times New Roman"/>
                <w:sz w:val="18"/>
                <w:szCs w:val="18"/>
                <w:lang w:val="en-US"/>
              </w:rPr>
              <w:t>долларовый</w:t>
            </w:r>
            <w:proofErr w:type="spellEnd"/>
            <w:r w:rsidRPr="001063D3">
              <w:rPr>
                <w:rFonts w:ascii="Times New Roman" w:hAnsi="Times New Roman"/>
                <w:sz w:val="18"/>
                <w:szCs w:val="18"/>
                <w:lang w:val="en-US"/>
              </w:rPr>
              <w:t xml:space="preserve"> </w:t>
            </w:r>
            <w:proofErr w:type="spellStart"/>
            <w:r w:rsidRPr="001063D3">
              <w:rPr>
                <w:rFonts w:ascii="Times New Roman" w:hAnsi="Times New Roman"/>
                <w:sz w:val="18"/>
                <w:szCs w:val="18"/>
                <w:lang w:val="en-US"/>
              </w:rPr>
              <w:t>долг</w:t>
            </w:r>
            <w:proofErr w:type="spellEnd"/>
          </w:p>
        </w:tc>
        <w:tc>
          <w:tcPr>
            <w:tcW w:w="2107" w:type="dxa"/>
            <w:tcBorders>
              <w:top w:val="single" w:sz="4" w:space="0" w:color="auto"/>
              <w:left w:val="single" w:sz="4" w:space="0" w:color="auto"/>
              <w:bottom w:val="single" w:sz="4" w:space="0" w:color="auto"/>
              <w:right w:val="single" w:sz="4" w:space="0" w:color="auto"/>
            </w:tcBorders>
            <w:vAlign w:val="center"/>
            <w:hideMark/>
          </w:tcPr>
          <w:p w14:paraId="47E4C79A" w14:textId="77777777" w:rsidR="001063D3" w:rsidRPr="001063D3" w:rsidRDefault="001063D3" w:rsidP="001063D3">
            <w:pPr>
              <w:spacing w:line="240" w:lineRule="auto"/>
              <w:jc w:val="center"/>
              <w:rPr>
                <w:rFonts w:ascii="Times New Roman" w:hAnsi="Times New Roman"/>
                <w:sz w:val="18"/>
                <w:szCs w:val="18"/>
              </w:rPr>
            </w:pPr>
            <w:r w:rsidRPr="001063D3">
              <w:rPr>
                <w:rFonts w:ascii="Times New Roman" w:hAnsi="Times New Roman"/>
                <w:sz w:val="18"/>
                <w:szCs w:val="18"/>
              </w:rPr>
              <w:t>Девальвация 20.12.1994 и отказ от коридора</w:t>
            </w:r>
          </w:p>
        </w:tc>
        <w:tc>
          <w:tcPr>
            <w:tcW w:w="2105" w:type="dxa"/>
            <w:tcBorders>
              <w:top w:val="single" w:sz="4" w:space="0" w:color="auto"/>
              <w:left w:val="single" w:sz="4" w:space="0" w:color="auto"/>
              <w:bottom w:val="single" w:sz="4" w:space="0" w:color="auto"/>
              <w:right w:val="single" w:sz="4" w:space="0" w:color="auto"/>
            </w:tcBorders>
            <w:vAlign w:val="center"/>
            <w:hideMark/>
          </w:tcPr>
          <w:p w14:paraId="2ECA32DE" w14:textId="77777777" w:rsidR="001063D3" w:rsidRPr="001063D3" w:rsidRDefault="001063D3" w:rsidP="001063D3">
            <w:pPr>
              <w:spacing w:line="240" w:lineRule="auto"/>
              <w:jc w:val="center"/>
              <w:rPr>
                <w:rFonts w:ascii="Times New Roman" w:hAnsi="Times New Roman"/>
                <w:sz w:val="18"/>
                <w:szCs w:val="18"/>
                <w:lang w:val="en-US"/>
              </w:rPr>
            </w:pPr>
            <w:proofErr w:type="spellStart"/>
            <w:r w:rsidRPr="001063D3">
              <w:rPr>
                <w:rFonts w:ascii="Times New Roman" w:hAnsi="Times New Roman"/>
                <w:sz w:val="18"/>
                <w:szCs w:val="18"/>
                <w:lang w:val="en-US"/>
              </w:rPr>
              <w:t>Резкая</w:t>
            </w:r>
            <w:proofErr w:type="spellEnd"/>
            <w:r w:rsidRPr="001063D3">
              <w:rPr>
                <w:rFonts w:ascii="Times New Roman" w:hAnsi="Times New Roman"/>
                <w:sz w:val="18"/>
                <w:szCs w:val="18"/>
                <w:lang w:val="en-US"/>
              </w:rPr>
              <w:t xml:space="preserve"> </w:t>
            </w:r>
            <w:proofErr w:type="spellStart"/>
            <w:r w:rsidRPr="001063D3">
              <w:rPr>
                <w:rFonts w:ascii="Times New Roman" w:hAnsi="Times New Roman"/>
                <w:sz w:val="18"/>
                <w:szCs w:val="18"/>
                <w:lang w:val="en-US"/>
              </w:rPr>
              <w:t>потеря</w:t>
            </w:r>
            <w:proofErr w:type="spellEnd"/>
            <w:r w:rsidRPr="001063D3">
              <w:rPr>
                <w:rFonts w:ascii="Times New Roman" w:hAnsi="Times New Roman"/>
                <w:sz w:val="18"/>
                <w:szCs w:val="18"/>
                <w:lang w:val="en-US"/>
              </w:rPr>
              <w:t xml:space="preserve"> </w:t>
            </w:r>
            <w:proofErr w:type="spellStart"/>
            <w:r w:rsidRPr="001063D3">
              <w:rPr>
                <w:rFonts w:ascii="Times New Roman" w:hAnsi="Times New Roman"/>
                <w:sz w:val="18"/>
                <w:szCs w:val="18"/>
                <w:lang w:val="en-US"/>
              </w:rPr>
              <w:t>стоимости</w:t>
            </w:r>
            <w:proofErr w:type="spellEnd"/>
            <w:r w:rsidRPr="001063D3">
              <w:rPr>
                <w:rFonts w:ascii="Times New Roman" w:hAnsi="Times New Roman"/>
                <w:sz w:val="18"/>
                <w:szCs w:val="18"/>
                <w:lang w:val="en-US"/>
              </w:rPr>
              <w:t xml:space="preserve"> </w:t>
            </w:r>
            <w:proofErr w:type="spellStart"/>
            <w:r w:rsidRPr="001063D3">
              <w:rPr>
                <w:rFonts w:ascii="Times New Roman" w:hAnsi="Times New Roman"/>
                <w:sz w:val="18"/>
                <w:szCs w:val="18"/>
                <w:lang w:val="en-US"/>
              </w:rPr>
              <w:t>песо</w:t>
            </w:r>
            <w:proofErr w:type="spellEnd"/>
          </w:p>
        </w:tc>
      </w:tr>
      <w:tr w:rsidR="001063D3" w:rsidRPr="001063D3" w14:paraId="03B95FEB" w14:textId="77777777" w:rsidTr="001063D3">
        <w:trPr>
          <w:trHeight w:val="733"/>
          <w:jc w:val="center"/>
        </w:trPr>
        <w:tc>
          <w:tcPr>
            <w:tcW w:w="2105" w:type="dxa"/>
            <w:tcBorders>
              <w:top w:val="single" w:sz="4" w:space="0" w:color="auto"/>
              <w:left w:val="single" w:sz="4" w:space="0" w:color="auto"/>
              <w:bottom w:val="single" w:sz="4" w:space="0" w:color="auto"/>
              <w:right w:val="single" w:sz="4" w:space="0" w:color="auto"/>
            </w:tcBorders>
            <w:vAlign w:val="center"/>
            <w:hideMark/>
          </w:tcPr>
          <w:p w14:paraId="21C3DA54" w14:textId="77777777" w:rsidR="001063D3" w:rsidRPr="001063D3" w:rsidRDefault="001063D3" w:rsidP="001063D3">
            <w:pPr>
              <w:spacing w:line="240" w:lineRule="auto"/>
              <w:jc w:val="center"/>
              <w:rPr>
                <w:rFonts w:ascii="Times New Roman" w:hAnsi="Times New Roman"/>
                <w:sz w:val="18"/>
                <w:szCs w:val="18"/>
                <w:lang w:val="en-US"/>
              </w:rPr>
            </w:pPr>
            <w:proofErr w:type="spellStart"/>
            <w:r w:rsidRPr="001063D3">
              <w:rPr>
                <w:rFonts w:ascii="Times New Roman" w:hAnsi="Times New Roman"/>
                <w:sz w:val="18"/>
                <w:szCs w:val="18"/>
                <w:lang w:val="en-US"/>
              </w:rPr>
              <w:t>Таиланд</w:t>
            </w:r>
            <w:proofErr w:type="spellEnd"/>
            <w:r w:rsidRPr="001063D3">
              <w:rPr>
                <w:rFonts w:ascii="Times New Roman" w:hAnsi="Times New Roman"/>
                <w:sz w:val="18"/>
                <w:szCs w:val="18"/>
                <w:lang w:val="en-US"/>
              </w:rPr>
              <w:t>, 1997</w:t>
            </w:r>
          </w:p>
        </w:tc>
        <w:tc>
          <w:tcPr>
            <w:tcW w:w="2106" w:type="dxa"/>
            <w:tcBorders>
              <w:top w:val="single" w:sz="4" w:space="0" w:color="auto"/>
              <w:left w:val="single" w:sz="4" w:space="0" w:color="auto"/>
              <w:bottom w:val="single" w:sz="4" w:space="0" w:color="auto"/>
              <w:right w:val="single" w:sz="4" w:space="0" w:color="auto"/>
            </w:tcBorders>
            <w:vAlign w:val="center"/>
            <w:hideMark/>
          </w:tcPr>
          <w:p w14:paraId="719B9F81" w14:textId="77777777" w:rsidR="001063D3" w:rsidRPr="001063D3" w:rsidRDefault="001063D3" w:rsidP="001063D3">
            <w:pPr>
              <w:spacing w:line="240" w:lineRule="auto"/>
              <w:jc w:val="center"/>
              <w:rPr>
                <w:rFonts w:ascii="Times New Roman" w:hAnsi="Times New Roman"/>
                <w:sz w:val="18"/>
                <w:szCs w:val="18"/>
                <w:lang w:val="en-US"/>
              </w:rPr>
            </w:pPr>
            <w:proofErr w:type="spellStart"/>
            <w:r w:rsidRPr="001063D3">
              <w:rPr>
                <w:rFonts w:ascii="Times New Roman" w:hAnsi="Times New Roman"/>
                <w:sz w:val="18"/>
                <w:szCs w:val="18"/>
                <w:lang w:val="en-US"/>
              </w:rPr>
              <w:t>Привязка</w:t>
            </w:r>
            <w:proofErr w:type="spellEnd"/>
            <w:r w:rsidRPr="001063D3">
              <w:rPr>
                <w:rFonts w:ascii="Times New Roman" w:hAnsi="Times New Roman"/>
                <w:sz w:val="18"/>
                <w:szCs w:val="18"/>
                <w:lang w:val="en-US"/>
              </w:rPr>
              <w:t xml:space="preserve"> к </w:t>
            </w:r>
            <w:proofErr w:type="spellStart"/>
            <w:r w:rsidRPr="001063D3">
              <w:rPr>
                <w:rFonts w:ascii="Times New Roman" w:hAnsi="Times New Roman"/>
                <w:sz w:val="18"/>
                <w:szCs w:val="18"/>
                <w:lang w:val="en-US"/>
              </w:rPr>
              <w:t>доллару</w:t>
            </w:r>
            <w:proofErr w:type="spellEnd"/>
          </w:p>
        </w:tc>
        <w:tc>
          <w:tcPr>
            <w:tcW w:w="2107" w:type="dxa"/>
            <w:tcBorders>
              <w:top w:val="single" w:sz="4" w:space="0" w:color="auto"/>
              <w:left w:val="single" w:sz="4" w:space="0" w:color="auto"/>
              <w:bottom w:val="single" w:sz="4" w:space="0" w:color="auto"/>
              <w:right w:val="single" w:sz="4" w:space="0" w:color="auto"/>
            </w:tcBorders>
            <w:vAlign w:val="center"/>
            <w:hideMark/>
          </w:tcPr>
          <w:p w14:paraId="7A4313A4" w14:textId="77777777" w:rsidR="001063D3" w:rsidRPr="001063D3" w:rsidRDefault="001063D3" w:rsidP="001063D3">
            <w:pPr>
              <w:spacing w:line="240" w:lineRule="auto"/>
              <w:jc w:val="center"/>
              <w:rPr>
                <w:rFonts w:ascii="Times New Roman" w:hAnsi="Times New Roman"/>
                <w:sz w:val="18"/>
                <w:szCs w:val="18"/>
                <w:lang w:val="en-US"/>
              </w:rPr>
            </w:pPr>
            <w:proofErr w:type="spellStart"/>
            <w:r w:rsidRPr="001063D3">
              <w:rPr>
                <w:rFonts w:ascii="Times New Roman" w:hAnsi="Times New Roman"/>
                <w:sz w:val="18"/>
                <w:szCs w:val="18"/>
                <w:lang w:val="en-US"/>
              </w:rPr>
              <w:t>Краткосрочный</w:t>
            </w:r>
            <w:proofErr w:type="spellEnd"/>
            <w:r w:rsidRPr="001063D3">
              <w:rPr>
                <w:rFonts w:ascii="Times New Roman" w:hAnsi="Times New Roman"/>
                <w:sz w:val="18"/>
                <w:szCs w:val="18"/>
                <w:lang w:val="en-US"/>
              </w:rPr>
              <w:t xml:space="preserve"> </w:t>
            </w:r>
            <w:proofErr w:type="spellStart"/>
            <w:r w:rsidRPr="001063D3">
              <w:rPr>
                <w:rFonts w:ascii="Times New Roman" w:hAnsi="Times New Roman"/>
                <w:sz w:val="18"/>
                <w:szCs w:val="18"/>
                <w:lang w:val="en-US"/>
              </w:rPr>
              <w:t>внешний</w:t>
            </w:r>
            <w:proofErr w:type="spellEnd"/>
            <w:r w:rsidRPr="001063D3">
              <w:rPr>
                <w:rFonts w:ascii="Times New Roman" w:hAnsi="Times New Roman"/>
                <w:sz w:val="18"/>
                <w:szCs w:val="18"/>
                <w:lang w:val="en-US"/>
              </w:rPr>
              <w:t xml:space="preserve"> </w:t>
            </w:r>
            <w:proofErr w:type="spellStart"/>
            <w:r w:rsidRPr="001063D3">
              <w:rPr>
                <w:rFonts w:ascii="Times New Roman" w:hAnsi="Times New Roman"/>
                <w:sz w:val="18"/>
                <w:szCs w:val="18"/>
                <w:lang w:val="en-US"/>
              </w:rPr>
              <w:t>долг</w:t>
            </w:r>
            <w:proofErr w:type="spellEnd"/>
          </w:p>
        </w:tc>
        <w:tc>
          <w:tcPr>
            <w:tcW w:w="2107" w:type="dxa"/>
            <w:tcBorders>
              <w:top w:val="single" w:sz="4" w:space="0" w:color="auto"/>
              <w:left w:val="single" w:sz="4" w:space="0" w:color="auto"/>
              <w:bottom w:val="single" w:sz="4" w:space="0" w:color="auto"/>
              <w:right w:val="single" w:sz="4" w:space="0" w:color="auto"/>
            </w:tcBorders>
            <w:vAlign w:val="center"/>
            <w:hideMark/>
          </w:tcPr>
          <w:p w14:paraId="7A557D7A" w14:textId="77777777" w:rsidR="001063D3" w:rsidRPr="001063D3" w:rsidRDefault="001063D3" w:rsidP="001063D3">
            <w:pPr>
              <w:spacing w:line="240" w:lineRule="auto"/>
              <w:jc w:val="center"/>
              <w:rPr>
                <w:rFonts w:ascii="Times New Roman" w:hAnsi="Times New Roman"/>
                <w:sz w:val="18"/>
                <w:szCs w:val="18"/>
                <w:lang w:val="en-US"/>
              </w:rPr>
            </w:pPr>
            <w:proofErr w:type="spellStart"/>
            <w:r w:rsidRPr="001063D3">
              <w:rPr>
                <w:rFonts w:ascii="Times New Roman" w:hAnsi="Times New Roman"/>
                <w:sz w:val="18"/>
                <w:szCs w:val="18"/>
                <w:lang w:val="en-US"/>
              </w:rPr>
              <w:t>Переход</w:t>
            </w:r>
            <w:proofErr w:type="spellEnd"/>
            <w:r w:rsidRPr="001063D3">
              <w:rPr>
                <w:rFonts w:ascii="Times New Roman" w:hAnsi="Times New Roman"/>
                <w:sz w:val="18"/>
                <w:szCs w:val="18"/>
                <w:lang w:val="en-US"/>
              </w:rPr>
              <w:t xml:space="preserve"> к </w:t>
            </w:r>
            <w:proofErr w:type="spellStart"/>
            <w:r w:rsidRPr="001063D3">
              <w:rPr>
                <w:rFonts w:ascii="Times New Roman" w:hAnsi="Times New Roman"/>
                <w:sz w:val="18"/>
                <w:szCs w:val="18"/>
                <w:lang w:val="en-US"/>
              </w:rPr>
              <w:t>управляемому</w:t>
            </w:r>
            <w:proofErr w:type="spellEnd"/>
            <w:r w:rsidRPr="001063D3">
              <w:rPr>
                <w:rFonts w:ascii="Times New Roman" w:hAnsi="Times New Roman"/>
                <w:sz w:val="18"/>
                <w:szCs w:val="18"/>
                <w:lang w:val="en-US"/>
              </w:rPr>
              <w:t xml:space="preserve"> </w:t>
            </w:r>
            <w:proofErr w:type="spellStart"/>
            <w:r w:rsidRPr="001063D3">
              <w:rPr>
                <w:rFonts w:ascii="Times New Roman" w:hAnsi="Times New Roman"/>
                <w:sz w:val="18"/>
                <w:szCs w:val="18"/>
                <w:lang w:val="en-US"/>
              </w:rPr>
              <w:t>плаванию</w:t>
            </w:r>
            <w:proofErr w:type="spellEnd"/>
            <w:r w:rsidRPr="001063D3">
              <w:rPr>
                <w:rFonts w:ascii="Times New Roman" w:hAnsi="Times New Roman"/>
                <w:sz w:val="18"/>
                <w:szCs w:val="18"/>
                <w:lang w:val="en-US"/>
              </w:rPr>
              <w:t xml:space="preserve"> 02.07.1997</w:t>
            </w:r>
          </w:p>
        </w:tc>
        <w:tc>
          <w:tcPr>
            <w:tcW w:w="2105" w:type="dxa"/>
            <w:tcBorders>
              <w:top w:val="single" w:sz="4" w:space="0" w:color="auto"/>
              <w:left w:val="single" w:sz="4" w:space="0" w:color="auto"/>
              <w:bottom w:val="single" w:sz="4" w:space="0" w:color="auto"/>
              <w:right w:val="single" w:sz="4" w:space="0" w:color="auto"/>
            </w:tcBorders>
            <w:vAlign w:val="center"/>
            <w:hideMark/>
          </w:tcPr>
          <w:p w14:paraId="3CBB97BF" w14:textId="77777777" w:rsidR="001063D3" w:rsidRPr="001063D3" w:rsidRDefault="001063D3" w:rsidP="001063D3">
            <w:pPr>
              <w:spacing w:line="240" w:lineRule="auto"/>
              <w:jc w:val="center"/>
              <w:rPr>
                <w:rFonts w:ascii="Times New Roman" w:hAnsi="Times New Roman"/>
                <w:sz w:val="18"/>
                <w:szCs w:val="18"/>
              </w:rPr>
            </w:pPr>
            <w:r w:rsidRPr="001063D3">
              <w:rPr>
                <w:rFonts w:ascii="Times New Roman" w:hAnsi="Times New Roman"/>
                <w:sz w:val="18"/>
                <w:szCs w:val="18"/>
              </w:rPr>
              <w:t>Девальвация бата и банковский кризис</w:t>
            </w:r>
          </w:p>
        </w:tc>
      </w:tr>
      <w:tr w:rsidR="001063D3" w:rsidRPr="001063D3" w14:paraId="1B6ECA36" w14:textId="77777777" w:rsidTr="001063D3">
        <w:trPr>
          <w:trHeight w:val="752"/>
          <w:jc w:val="center"/>
        </w:trPr>
        <w:tc>
          <w:tcPr>
            <w:tcW w:w="2105" w:type="dxa"/>
            <w:tcBorders>
              <w:top w:val="single" w:sz="4" w:space="0" w:color="auto"/>
              <w:left w:val="single" w:sz="4" w:space="0" w:color="auto"/>
              <w:bottom w:val="single" w:sz="4" w:space="0" w:color="auto"/>
              <w:right w:val="single" w:sz="4" w:space="0" w:color="auto"/>
            </w:tcBorders>
            <w:vAlign w:val="center"/>
            <w:hideMark/>
          </w:tcPr>
          <w:p w14:paraId="79A17290" w14:textId="77777777" w:rsidR="001063D3" w:rsidRPr="001063D3" w:rsidRDefault="001063D3" w:rsidP="001063D3">
            <w:pPr>
              <w:spacing w:line="240" w:lineRule="auto"/>
              <w:jc w:val="center"/>
              <w:rPr>
                <w:rFonts w:ascii="Times New Roman" w:hAnsi="Times New Roman"/>
                <w:sz w:val="18"/>
                <w:szCs w:val="18"/>
                <w:lang w:val="en-US"/>
              </w:rPr>
            </w:pPr>
            <w:proofErr w:type="spellStart"/>
            <w:r w:rsidRPr="001063D3">
              <w:rPr>
                <w:rFonts w:ascii="Times New Roman" w:hAnsi="Times New Roman"/>
                <w:sz w:val="18"/>
                <w:szCs w:val="18"/>
                <w:lang w:val="en-US"/>
              </w:rPr>
              <w:t>Россия</w:t>
            </w:r>
            <w:proofErr w:type="spellEnd"/>
            <w:r w:rsidRPr="001063D3">
              <w:rPr>
                <w:rFonts w:ascii="Times New Roman" w:hAnsi="Times New Roman"/>
                <w:sz w:val="18"/>
                <w:szCs w:val="18"/>
                <w:lang w:val="en-US"/>
              </w:rPr>
              <w:t>, 1998</w:t>
            </w:r>
          </w:p>
        </w:tc>
        <w:tc>
          <w:tcPr>
            <w:tcW w:w="2106" w:type="dxa"/>
            <w:tcBorders>
              <w:top w:val="single" w:sz="4" w:space="0" w:color="auto"/>
              <w:left w:val="single" w:sz="4" w:space="0" w:color="auto"/>
              <w:bottom w:val="single" w:sz="4" w:space="0" w:color="auto"/>
              <w:right w:val="single" w:sz="4" w:space="0" w:color="auto"/>
            </w:tcBorders>
            <w:vAlign w:val="center"/>
            <w:hideMark/>
          </w:tcPr>
          <w:p w14:paraId="41B5075B" w14:textId="77777777" w:rsidR="001063D3" w:rsidRPr="001063D3" w:rsidRDefault="001063D3" w:rsidP="001063D3">
            <w:pPr>
              <w:spacing w:line="240" w:lineRule="auto"/>
              <w:jc w:val="center"/>
              <w:rPr>
                <w:rFonts w:ascii="Times New Roman" w:hAnsi="Times New Roman"/>
                <w:sz w:val="18"/>
                <w:szCs w:val="18"/>
                <w:lang w:val="en-US"/>
              </w:rPr>
            </w:pPr>
            <w:proofErr w:type="spellStart"/>
            <w:r w:rsidRPr="001063D3">
              <w:rPr>
                <w:rFonts w:ascii="Times New Roman" w:hAnsi="Times New Roman"/>
                <w:sz w:val="18"/>
                <w:szCs w:val="18"/>
                <w:lang w:val="en-US"/>
              </w:rPr>
              <w:t>Валютный</w:t>
            </w:r>
            <w:proofErr w:type="spellEnd"/>
            <w:r w:rsidRPr="001063D3">
              <w:rPr>
                <w:rFonts w:ascii="Times New Roman" w:hAnsi="Times New Roman"/>
                <w:sz w:val="18"/>
                <w:szCs w:val="18"/>
                <w:lang w:val="en-US"/>
              </w:rPr>
              <w:t xml:space="preserve"> </w:t>
            </w:r>
            <w:proofErr w:type="spellStart"/>
            <w:r w:rsidRPr="001063D3">
              <w:rPr>
                <w:rFonts w:ascii="Times New Roman" w:hAnsi="Times New Roman"/>
                <w:sz w:val="18"/>
                <w:szCs w:val="18"/>
                <w:lang w:val="en-US"/>
              </w:rPr>
              <w:t>коридор</w:t>
            </w:r>
            <w:proofErr w:type="spellEnd"/>
          </w:p>
        </w:tc>
        <w:tc>
          <w:tcPr>
            <w:tcW w:w="2107" w:type="dxa"/>
            <w:tcBorders>
              <w:top w:val="single" w:sz="4" w:space="0" w:color="auto"/>
              <w:left w:val="single" w:sz="4" w:space="0" w:color="auto"/>
              <w:bottom w:val="single" w:sz="4" w:space="0" w:color="auto"/>
              <w:right w:val="single" w:sz="4" w:space="0" w:color="auto"/>
            </w:tcBorders>
            <w:vAlign w:val="center"/>
            <w:hideMark/>
          </w:tcPr>
          <w:p w14:paraId="58E81070" w14:textId="77777777" w:rsidR="001063D3" w:rsidRPr="001063D3" w:rsidRDefault="001063D3" w:rsidP="001063D3">
            <w:pPr>
              <w:spacing w:line="240" w:lineRule="auto"/>
              <w:jc w:val="center"/>
              <w:rPr>
                <w:rFonts w:ascii="Times New Roman" w:hAnsi="Times New Roman"/>
                <w:sz w:val="18"/>
                <w:szCs w:val="18"/>
                <w:lang w:val="en-US"/>
              </w:rPr>
            </w:pPr>
            <w:proofErr w:type="spellStart"/>
            <w:r w:rsidRPr="001063D3">
              <w:rPr>
                <w:rFonts w:ascii="Times New Roman" w:hAnsi="Times New Roman"/>
                <w:sz w:val="18"/>
                <w:szCs w:val="18"/>
                <w:lang w:val="en-US"/>
              </w:rPr>
              <w:t>Долг</w:t>
            </w:r>
            <w:proofErr w:type="spellEnd"/>
            <w:r w:rsidRPr="001063D3">
              <w:rPr>
                <w:rFonts w:ascii="Times New Roman" w:hAnsi="Times New Roman"/>
                <w:sz w:val="18"/>
                <w:szCs w:val="18"/>
                <w:lang w:val="en-US"/>
              </w:rPr>
              <w:t xml:space="preserve">, </w:t>
            </w:r>
            <w:proofErr w:type="spellStart"/>
            <w:r w:rsidRPr="001063D3">
              <w:rPr>
                <w:rFonts w:ascii="Times New Roman" w:hAnsi="Times New Roman"/>
                <w:sz w:val="18"/>
                <w:szCs w:val="18"/>
                <w:lang w:val="en-US"/>
              </w:rPr>
              <w:t>резервы</w:t>
            </w:r>
            <w:proofErr w:type="spellEnd"/>
            <w:r w:rsidRPr="001063D3">
              <w:rPr>
                <w:rFonts w:ascii="Times New Roman" w:hAnsi="Times New Roman"/>
                <w:sz w:val="18"/>
                <w:szCs w:val="18"/>
                <w:lang w:val="en-US"/>
              </w:rPr>
              <w:t xml:space="preserve">, </w:t>
            </w:r>
            <w:proofErr w:type="spellStart"/>
            <w:r w:rsidRPr="001063D3">
              <w:rPr>
                <w:rFonts w:ascii="Times New Roman" w:hAnsi="Times New Roman"/>
                <w:sz w:val="18"/>
                <w:szCs w:val="18"/>
                <w:lang w:val="en-US"/>
              </w:rPr>
              <w:t>рефинансирование</w:t>
            </w:r>
            <w:proofErr w:type="spellEnd"/>
          </w:p>
        </w:tc>
        <w:tc>
          <w:tcPr>
            <w:tcW w:w="2107" w:type="dxa"/>
            <w:tcBorders>
              <w:top w:val="single" w:sz="4" w:space="0" w:color="auto"/>
              <w:left w:val="single" w:sz="4" w:space="0" w:color="auto"/>
              <w:bottom w:val="single" w:sz="4" w:space="0" w:color="auto"/>
              <w:right w:val="single" w:sz="4" w:space="0" w:color="auto"/>
            </w:tcBorders>
            <w:vAlign w:val="center"/>
            <w:hideMark/>
          </w:tcPr>
          <w:p w14:paraId="59CB857B" w14:textId="77777777" w:rsidR="001063D3" w:rsidRPr="001063D3" w:rsidRDefault="001063D3" w:rsidP="001063D3">
            <w:pPr>
              <w:spacing w:line="240" w:lineRule="auto"/>
              <w:jc w:val="center"/>
              <w:rPr>
                <w:rFonts w:ascii="Times New Roman" w:hAnsi="Times New Roman"/>
                <w:sz w:val="18"/>
                <w:szCs w:val="18"/>
              </w:rPr>
            </w:pPr>
            <w:r w:rsidRPr="001063D3">
              <w:rPr>
                <w:rFonts w:ascii="Times New Roman" w:hAnsi="Times New Roman"/>
                <w:sz w:val="18"/>
                <w:szCs w:val="18"/>
              </w:rPr>
              <w:t xml:space="preserve">Расширение коридора 17.08.1998 и последующий </w:t>
            </w:r>
            <w:r w:rsidRPr="001063D3">
              <w:rPr>
                <w:rFonts w:ascii="Times New Roman" w:hAnsi="Times New Roman"/>
                <w:sz w:val="18"/>
                <w:szCs w:val="18"/>
                <w:lang w:val="en-US"/>
              </w:rPr>
              <w:t>float</w:t>
            </w:r>
          </w:p>
        </w:tc>
        <w:tc>
          <w:tcPr>
            <w:tcW w:w="2105" w:type="dxa"/>
            <w:tcBorders>
              <w:top w:val="single" w:sz="4" w:space="0" w:color="auto"/>
              <w:left w:val="single" w:sz="4" w:space="0" w:color="auto"/>
              <w:bottom w:val="single" w:sz="4" w:space="0" w:color="auto"/>
              <w:right w:val="single" w:sz="4" w:space="0" w:color="auto"/>
            </w:tcBorders>
            <w:vAlign w:val="center"/>
            <w:hideMark/>
          </w:tcPr>
          <w:p w14:paraId="6FCCB5FE" w14:textId="77777777" w:rsidR="001063D3" w:rsidRPr="001063D3" w:rsidRDefault="001063D3" w:rsidP="001063D3">
            <w:pPr>
              <w:spacing w:line="240" w:lineRule="auto"/>
              <w:jc w:val="center"/>
              <w:rPr>
                <w:rFonts w:ascii="Times New Roman" w:hAnsi="Times New Roman"/>
                <w:sz w:val="18"/>
                <w:szCs w:val="18"/>
              </w:rPr>
            </w:pPr>
            <w:r w:rsidRPr="001063D3">
              <w:rPr>
                <w:rFonts w:ascii="Times New Roman" w:hAnsi="Times New Roman"/>
                <w:sz w:val="18"/>
                <w:szCs w:val="18"/>
              </w:rPr>
              <w:t>Девальвация рубля и банковский кризис</w:t>
            </w:r>
          </w:p>
        </w:tc>
      </w:tr>
      <w:tr w:rsidR="001063D3" w:rsidRPr="001063D3" w14:paraId="5E2A5410" w14:textId="77777777" w:rsidTr="001063D3">
        <w:trPr>
          <w:trHeight w:val="579"/>
          <w:jc w:val="center"/>
        </w:trPr>
        <w:tc>
          <w:tcPr>
            <w:tcW w:w="2105" w:type="dxa"/>
            <w:tcBorders>
              <w:top w:val="single" w:sz="4" w:space="0" w:color="auto"/>
              <w:left w:val="single" w:sz="4" w:space="0" w:color="auto"/>
              <w:bottom w:val="single" w:sz="4" w:space="0" w:color="auto"/>
              <w:right w:val="single" w:sz="4" w:space="0" w:color="auto"/>
            </w:tcBorders>
            <w:vAlign w:val="center"/>
            <w:hideMark/>
          </w:tcPr>
          <w:p w14:paraId="045033B1" w14:textId="77777777" w:rsidR="001063D3" w:rsidRPr="001063D3" w:rsidRDefault="001063D3" w:rsidP="001063D3">
            <w:pPr>
              <w:spacing w:line="240" w:lineRule="auto"/>
              <w:jc w:val="center"/>
              <w:rPr>
                <w:rFonts w:ascii="Times New Roman" w:hAnsi="Times New Roman"/>
                <w:sz w:val="18"/>
                <w:szCs w:val="18"/>
                <w:lang w:val="en-US"/>
              </w:rPr>
            </w:pPr>
            <w:proofErr w:type="spellStart"/>
            <w:r w:rsidRPr="001063D3">
              <w:rPr>
                <w:rFonts w:ascii="Times New Roman" w:hAnsi="Times New Roman"/>
                <w:sz w:val="18"/>
                <w:szCs w:val="18"/>
                <w:lang w:val="en-US"/>
              </w:rPr>
              <w:t>Швейцария</w:t>
            </w:r>
            <w:proofErr w:type="spellEnd"/>
            <w:r w:rsidRPr="001063D3">
              <w:rPr>
                <w:rFonts w:ascii="Times New Roman" w:hAnsi="Times New Roman"/>
                <w:sz w:val="18"/>
                <w:szCs w:val="18"/>
                <w:lang w:val="en-US"/>
              </w:rPr>
              <w:t>, 2015</w:t>
            </w:r>
          </w:p>
        </w:tc>
        <w:tc>
          <w:tcPr>
            <w:tcW w:w="2106" w:type="dxa"/>
            <w:tcBorders>
              <w:top w:val="single" w:sz="4" w:space="0" w:color="auto"/>
              <w:left w:val="single" w:sz="4" w:space="0" w:color="auto"/>
              <w:bottom w:val="single" w:sz="4" w:space="0" w:color="auto"/>
              <w:right w:val="single" w:sz="4" w:space="0" w:color="auto"/>
            </w:tcBorders>
            <w:vAlign w:val="center"/>
            <w:hideMark/>
          </w:tcPr>
          <w:p w14:paraId="13DBB803" w14:textId="77777777" w:rsidR="001063D3" w:rsidRPr="001063D3" w:rsidRDefault="001063D3" w:rsidP="001063D3">
            <w:pPr>
              <w:spacing w:line="240" w:lineRule="auto"/>
              <w:jc w:val="center"/>
              <w:rPr>
                <w:rFonts w:ascii="Times New Roman" w:hAnsi="Times New Roman"/>
                <w:sz w:val="18"/>
                <w:szCs w:val="18"/>
                <w:lang w:val="en-US"/>
              </w:rPr>
            </w:pPr>
            <w:proofErr w:type="spellStart"/>
            <w:r w:rsidRPr="001063D3">
              <w:rPr>
                <w:rFonts w:ascii="Times New Roman" w:hAnsi="Times New Roman"/>
                <w:sz w:val="18"/>
                <w:szCs w:val="18"/>
                <w:lang w:val="en-US"/>
              </w:rPr>
              <w:t>Минимум</w:t>
            </w:r>
            <w:proofErr w:type="spellEnd"/>
            <w:r w:rsidRPr="001063D3">
              <w:rPr>
                <w:rFonts w:ascii="Times New Roman" w:hAnsi="Times New Roman"/>
                <w:sz w:val="18"/>
                <w:szCs w:val="18"/>
                <w:lang w:val="en-US"/>
              </w:rPr>
              <w:t xml:space="preserve"> CHF 1,20/EUR</w:t>
            </w:r>
          </w:p>
        </w:tc>
        <w:tc>
          <w:tcPr>
            <w:tcW w:w="2107" w:type="dxa"/>
            <w:tcBorders>
              <w:top w:val="single" w:sz="4" w:space="0" w:color="auto"/>
              <w:left w:val="single" w:sz="4" w:space="0" w:color="auto"/>
              <w:bottom w:val="single" w:sz="4" w:space="0" w:color="auto"/>
              <w:right w:val="single" w:sz="4" w:space="0" w:color="auto"/>
            </w:tcBorders>
            <w:vAlign w:val="center"/>
            <w:hideMark/>
          </w:tcPr>
          <w:p w14:paraId="6F2F1318" w14:textId="77777777" w:rsidR="001063D3" w:rsidRPr="001063D3" w:rsidRDefault="001063D3" w:rsidP="001063D3">
            <w:pPr>
              <w:spacing w:line="240" w:lineRule="auto"/>
              <w:jc w:val="center"/>
              <w:rPr>
                <w:rFonts w:ascii="Times New Roman" w:hAnsi="Times New Roman"/>
                <w:sz w:val="18"/>
                <w:szCs w:val="18"/>
                <w:lang w:val="en-US"/>
              </w:rPr>
            </w:pPr>
            <w:proofErr w:type="spellStart"/>
            <w:r w:rsidRPr="001063D3">
              <w:rPr>
                <w:rFonts w:ascii="Times New Roman" w:hAnsi="Times New Roman"/>
                <w:sz w:val="18"/>
                <w:szCs w:val="18"/>
                <w:lang w:val="en-US"/>
              </w:rPr>
              <w:t>Риск</w:t>
            </w:r>
            <w:proofErr w:type="spellEnd"/>
            <w:r w:rsidRPr="001063D3">
              <w:rPr>
                <w:rFonts w:ascii="Times New Roman" w:hAnsi="Times New Roman"/>
                <w:sz w:val="18"/>
                <w:szCs w:val="18"/>
                <w:lang w:val="en-US"/>
              </w:rPr>
              <w:t xml:space="preserve"> </w:t>
            </w:r>
            <w:proofErr w:type="spellStart"/>
            <w:r w:rsidRPr="001063D3">
              <w:rPr>
                <w:rFonts w:ascii="Times New Roman" w:hAnsi="Times New Roman"/>
                <w:sz w:val="18"/>
                <w:szCs w:val="18"/>
                <w:lang w:val="en-US"/>
              </w:rPr>
              <w:t>решения</w:t>
            </w:r>
            <w:proofErr w:type="spellEnd"/>
            <w:r w:rsidRPr="001063D3">
              <w:rPr>
                <w:rFonts w:ascii="Times New Roman" w:hAnsi="Times New Roman"/>
                <w:sz w:val="18"/>
                <w:szCs w:val="18"/>
                <w:lang w:val="en-US"/>
              </w:rPr>
              <w:t xml:space="preserve"> </w:t>
            </w:r>
            <w:proofErr w:type="spellStart"/>
            <w:r w:rsidRPr="001063D3">
              <w:rPr>
                <w:rFonts w:ascii="Times New Roman" w:hAnsi="Times New Roman"/>
                <w:sz w:val="18"/>
                <w:szCs w:val="18"/>
                <w:lang w:val="en-US"/>
              </w:rPr>
              <w:t>регулятора</w:t>
            </w:r>
            <w:proofErr w:type="spellEnd"/>
          </w:p>
        </w:tc>
        <w:tc>
          <w:tcPr>
            <w:tcW w:w="2107" w:type="dxa"/>
            <w:tcBorders>
              <w:top w:val="single" w:sz="4" w:space="0" w:color="auto"/>
              <w:left w:val="single" w:sz="4" w:space="0" w:color="auto"/>
              <w:bottom w:val="single" w:sz="4" w:space="0" w:color="auto"/>
              <w:right w:val="single" w:sz="4" w:space="0" w:color="auto"/>
            </w:tcBorders>
            <w:vAlign w:val="center"/>
            <w:hideMark/>
          </w:tcPr>
          <w:p w14:paraId="7BFC6EE9" w14:textId="77777777" w:rsidR="001063D3" w:rsidRPr="001063D3" w:rsidRDefault="001063D3" w:rsidP="001063D3">
            <w:pPr>
              <w:spacing w:line="240" w:lineRule="auto"/>
              <w:jc w:val="center"/>
              <w:rPr>
                <w:rFonts w:ascii="Times New Roman" w:hAnsi="Times New Roman"/>
                <w:sz w:val="18"/>
                <w:szCs w:val="18"/>
                <w:lang w:val="en-US"/>
              </w:rPr>
            </w:pPr>
            <w:proofErr w:type="spellStart"/>
            <w:r w:rsidRPr="001063D3">
              <w:rPr>
                <w:rFonts w:ascii="Times New Roman" w:hAnsi="Times New Roman"/>
                <w:sz w:val="18"/>
                <w:szCs w:val="18"/>
                <w:lang w:val="en-US"/>
              </w:rPr>
              <w:t>Отмена</w:t>
            </w:r>
            <w:proofErr w:type="spellEnd"/>
            <w:r w:rsidRPr="001063D3">
              <w:rPr>
                <w:rFonts w:ascii="Times New Roman" w:hAnsi="Times New Roman"/>
                <w:sz w:val="18"/>
                <w:szCs w:val="18"/>
                <w:lang w:val="en-US"/>
              </w:rPr>
              <w:t xml:space="preserve"> </w:t>
            </w:r>
            <w:proofErr w:type="spellStart"/>
            <w:r w:rsidRPr="001063D3">
              <w:rPr>
                <w:rFonts w:ascii="Times New Roman" w:hAnsi="Times New Roman"/>
                <w:sz w:val="18"/>
                <w:szCs w:val="18"/>
                <w:lang w:val="en-US"/>
              </w:rPr>
              <w:t>минимума</w:t>
            </w:r>
            <w:proofErr w:type="spellEnd"/>
            <w:r w:rsidRPr="001063D3">
              <w:rPr>
                <w:rFonts w:ascii="Times New Roman" w:hAnsi="Times New Roman"/>
                <w:sz w:val="18"/>
                <w:szCs w:val="18"/>
                <w:lang w:val="en-US"/>
              </w:rPr>
              <w:t xml:space="preserve"> 15.01.2015</w:t>
            </w:r>
          </w:p>
        </w:tc>
        <w:tc>
          <w:tcPr>
            <w:tcW w:w="2105" w:type="dxa"/>
            <w:tcBorders>
              <w:top w:val="single" w:sz="4" w:space="0" w:color="auto"/>
              <w:left w:val="single" w:sz="4" w:space="0" w:color="auto"/>
              <w:bottom w:val="single" w:sz="4" w:space="0" w:color="auto"/>
              <w:right w:val="single" w:sz="4" w:space="0" w:color="auto"/>
            </w:tcBorders>
            <w:vAlign w:val="center"/>
            <w:hideMark/>
          </w:tcPr>
          <w:p w14:paraId="1E37CFC4" w14:textId="77777777" w:rsidR="001063D3" w:rsidRPr="001063D3" w:rsidRDefault="001063D3" w:rsidP="001063D3">
            <w:pPr>
              <w:spacing w:line="240" w:lineRule="auto"/>
              <w:jc w:val="center"/>
              <w:rPr>
                <w:rFonts w:ascii="Times New Roman" w:hAnsi="Times New Roman"/>
                <w:sz w:val="18"/>
                <w:szCs w:val="18"/>
                <w:lang w:val="en-US"/>
              </w:rPr>
            </w:pPr>
            <w:proofErr w:type="spellStart"/>
            <w:r w:rsidRPr="001063D3">
              <w:rPr>
                <w:rFonts w:ascii="Times New Roman" w:hAnsi="Times New Roman"/>
                <w:sz w:val="18"/>
                <w:szCs w:val="18"/>
                <w:lang w:val="en-US"/>
              </w:rPr>
              <w:t>Резкое</w:t>
            </w:r>
            <w:proofErr w:type="spellEnd"/>
            <w:r w:rsidRPr="001063D3">
              <w:rPr>
                <w:rFonts w:ascii="Times New Roman" w:hAnsi="Times New Roman"/>
                <w:sz w:val="18"/>
                <w:szCs w:val="18"/>
                <w:lang w:val="en-US"/>
              </w:rPr>
              <w:t xml:space="preserve"> </w:t>
            </w:r>
            <w:proofErr w:type="spellStart"/>
            <w:r w:rsidRPr="001063D3">
              <w:rPr>
                <w:rFonts w:ascii="Times New Roman" w:hAnsi="Times New Roman"/>
                <w:sz w:val="18"/>
                <w:szCs w:val="18"/>
                <w:lang w:val="en-US"/>
              </w:rPr>
              <w:t>укрепление</w:t>
            </w:r>
            <w:proofErr w:type="spellEnd"/>
            <w:r w:rsidRPr="001063D3">
              <w:rPr>
                <w:rFonts w:ascii="Times New Roman" w:hAnsi="Times New Roman"/>
                <w:sz w:val="18"/>
                <w:szCs w:val="18"/>
                <w:lang w:val="en-US"/>
              </w:rPr>
              <w:t xml:space="preserve"> </w:t>
            </w:r>
            <w:proofErr w:type="spellStart"/>
            <w:r w:rsidRPr="001063D3">
              <w:rPr>
                <w:rFonts w:ascii="Times New Roman" w:hAnsi="Times New Roman"/>
                <w:sz w:val="18"/>
                <w:szCs w:val="18"/>
                <w:lang w:val="en-US"/>
              </w:rPr>
              <w:t>франка</w:t>
            </w:r>
            <w:proofErr w:type="spellEnd"/>
          </w:p>
        </w:tc>
      </w:tr>
    </w:tbl>
    <w:p w14:paraId="2EAB7BAE" w14:textId="77777777" w:rsidR="00984BC5" w:rsidRPr="001063D3" w:rsidRDefault="00984BC5" w:rsidP="005D246C">
      <w:pPr>
        <w:spacing w:line="240" w:lineRule="auto"/>
      </w:pPr>
    </w:p>
    <w:sectPr w:rsidR="00984BC5" w:rsidRPr="001063D3" w:rsidSect="001063D3">
      <w:footerReference w:type="default" r:id="rId15"/>
      <w:pgSz w:w="11906" w:h="16838"/>
      <w:pgMar w:top="1134" w:right="567" w:bottom="1134" w:left="1134" w:header="73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E2872" w14:textId="77777777" w:rsidR="00E71847" w:rsidRDefault="00E71847" w:rsidP="00984BC5">
      <w:pPr>
        <w:spacing w:after="0" w:line="240" w:lineRule="auto"/>
      </w:pPr>
      <w:r>
        <w:separator/>
      </w:r>
    </w:p>
  </w:endnote>
  <w:endnote w:type="continuationSeparator" w:id="0">
    <w:p w14:paraId="79320235" w14:textId="77777777" w:rsidR="00E71847" w:rsidRDefault="00E71847" w:rsidP="00984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600349"/>
      <w:docPartObj>
        <w:docPartGallery w:val="Page Numbers (Bottom of Page)"/>
        <w:docPartUnique/>
      </w:docPartObj>
    </w:sdtPr>
    <w:sdtEndPr>
      <w:rPr>
        <w:rFonts w:ascii="Times New Roman" w:hAnsi="Times New Roman"/>
        <w:sz w:val="28"/>
        <w:szCs w:val="28"/>
      </w:rPr>
    </w:sdtEndPr>
    <w:sdtContent>
      <w:p w14:paraId="5D2331C0" w14:textId="2EA1AF7F" w:rsidR="00984BC5" w:rsidRPr="00984BC5" w:rsidRDefault="00984BC5" w:rsidP="00984BC5">
        <w:pPr>
          <w:pStyle w:val="ae"/>
          <w:jc w:val="center"/>
          <w:rPr>
            <w:rFonts w:ascii="Times New Roman" w:hAnsi="Times New Roman"/>
            <w:sz w:val="28"/>
            <w:szCs w:val="28"/>
          </w:rPr>
        </w:pPr>
        <w:r w:rsidRPr="00984BC5">
          <w:rPr>
            <w:rFonts w:ascii="Times New Roman" w:hAnsi="Times New Roman"/>
            <w:sz w:val="28"/>
            <w:szCs w:val="28"/>
          </w:rPr>
          <w:fldChar w:fldCharType="begin"/>
        </w:r>
        <w:r w:rsidRPr="00984BC5">
          <w:rPr>
            <w:rFonts w:ascii="Times New Roman" w:hAnsi="Times New Roman"/>
            <w:sz w:val="28"/>
            <w:szCs w:val="28"/>
          </w:rPr>
          <w:instrText>PAGE   \* MERGEFORMAT</w:instrText>
        </w:r>
        <w:r w:rsidRPr="00984BC5">
          <w:rPr>
            <w:rFonts w:ascii="Times New Roman" w:hAnsi="Times New Roman"/>
            <w:sz w:val="28"/>
            <w:szCs w:val="28"/>
          </w:rPr>
          <w:fldChar w:fldCharType="separate"/>
        </w:r>
        <w:r w:rsidRPr="00984BC5">
          <w:rPr>
            <w:rFonts w:ascii="Times New Roman" w:hAnsi="Times New Roman"/>
            <w:sz w:val="28"/>
            <w:szCs w:val="28"/>
          </w:rPr>
          <w:t>2</w:t>
        </w:r>
        <w:r w:rsidRPr="00984BC5">
          <w:rPr>
            <w:rFonts w:ascii="Times New Roman" w:hAnsi="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6FBAD" w14:textId="77777777" w:rsidR="00E71847" w:rsidRDefault="00E71847" w:rsidP="00984BC5">
      <w:pPr>
        <w:spacing w:after="0" w:line="240" w:lineRule="auto"/>
      </w:pPr>
      <w:r>
        <w:separator/>
      </w:r>
    </w:p>
  </w:footnote>
  <w:footnote w:type="continuationSeparator" w:id="0">
    <w:p w14:paraId="73D49B37" w14:textId="77777777" w:rsidR="00E71847" w:rsidRDefault="00E71847" w:rsidP="00984B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46C"/>
    <w:rsid w:val="001063D3"/>
    <w:rsid w:val="003F5D13"/>
    <w:rsid w:val="00557290"/>
    <w:rsid w:val="00594939"/>
    <w:rsid w:val="005D246C"/>
    <w:rsid w:val="006942AF"/>
    <w:rsid w:val="006B18D3"/>
    <w:rsid w:val="00984BC5"/>
    <w:rsid w:val="00A43C8A"/>
    <w:rsid w:val="00AA1D34"/>
    <w:rsid w:val="00AC5D10"/>
    <w:rsid w:val="00C15B26"/>
    <w:rsid w:val="00CA7396"/>
    <w:rsid w:val="00DE6DFD"/>
    <w:rsid w:val="00E718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5F1D6"/>
  <w15:chartTrackingRefBased/>
  <w15:docId w15:val="{C4114C96-C80E-4EBA-AAD6-D5571A737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246C"/>
    <w:pPr>
      <w:spacing w:after="200" w:line="276" w:lineRule="auto"/>
    </w:pPr>
    <w:rPr>
      <w:rFonts w:ascii="Calibri" w:eastAsia="Calibri" w:hAnsi="Calibri" w:cs="Times New Roman"/>
      <w:kern w:val="0"/>
      <w14:ligatures w14:val="none"/>
    </w:rPr>
  </w:style>
  <w:style w:type="paragraph" w:styleId="1">
    <w:name w:val="heading 1"/>
    <w:basedOn w:val="a"/>
    <w:next w:val="a"/>
    <w:link w:val="10"/>
    <w:uiPriority w:val="9"/>
    <w:qFormat/>
    <w:rsid w:val="005D24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D24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D246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D246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D246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D246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246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246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246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D246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D246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D246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D246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D246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D246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D246C"/>
    <w:rPr>
      <w:rFonts w:eastAsiaTheme="majorEastAsia" w:cstheme="majorBidi"/>
      <w:color w:val="595959" w:themeColor="text1" w:themeTint="A6"/>
    </w:rPr>
  </w:style>
  <w:style w:type="character" w:customStyle="1" w:styleId="80">
    <w:name w:val="Заголовок 8 Знак"/>
    <w:basedOn w:val="a0"/>
    <w:link w:val="8"/>
    <w:uiPriority w:val="9"/>
    <w:semiHidden/>
    <w:rsid w:val="005D246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D246C"/>
    <w:rPr>
      <w:rFonts w:eastAsiaTheme="majorEastAsia" w:cstheme="majorBidi"/>
      <w:color w:val="272727" w:themeColor="text1" w:themeTint="D8"/>
    </w:rPr>
  </w:style>
  <w:style w:type="paragraph" w:styleId="a3">
    <w:name w:val="Title"/>
    <w:basedOn w:val="a"/>
    <w:next w:val="a"/>
    <w:link w:val="a4"/>
    <w:uiPriority w:val="10"/>
    <w:qFormat/>
    <w:rsid w:val="005D2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D24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246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D246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D246C"/>
    <w:pPr>
      <w:spacing w:before="160"/>
      <w:jc w:val="center"/>
    </w:pPr>
    <w:rPr>
      <w:i/>
      <w:iCs/>
      <w:color w:val="404040" w:themeColor="text1" w:themeTint="BF"/>
    </w:rPr>
  </w:style>
  <w:style w:type="character" w:customStyle="1" w:styleId="22">
    <w:name w:val="Цитата 2 Знак"/>
    <w:basedOn w:val="a0"/>
    <w:link w:val="21"/>
    <w:uiPriority w:val="29"/>
    <w:rsid w:val="005D246C"/>
    <w:rPr>
      <w:i/>
      <w:iCs/>
      <w:color w:val="404040" w:themeColor="text1" w:themeTint="BF"/>
    </w:rPr>
  </w:style>
  <w:style w:type="paragraph" w:styleId="a7">
    <w:name w:val="List Paragraph"/>
    <w:basedOn w:val="a"/>
    <w:uiPriority w:val="34"/>
    <w:qFormat/>
    <w:rsid w:val="005D246C"/>
    <w:pPr>
      <w:ind w:left="720"/>
      <w:contextualSpacing/>
    </w:pPr>
  </w:style>
  <w:style w:type="character" w:styleId="a8">
    <w:name w:val="Intense Emphasis"/>
    <w:basedOn w:val="a0"/>
    <w:uiPriority w:val="21"/>
    <w:qFormat/>
    <w:rsid w:val="005D246C"/>
    <w:rPr>
      <w:i/>
      <w:iCs/>
      <w:color w:val="2F5496" w:themeColor="accent1" w:themeShade="BF"/>
    </w:rPr>
  </w:style>
  <w:style w:type="paragraph" w:styleId="a9">
    <w:name w:val="Intense Quote"/>
    <w:basedOn w:val="a"/>
    <w:next w:val="a"/>
    <w:link w:val="aa"/>
    <w:uiPriority w:val="30"/>
    <w:qFormat/>
    <w:rsid w:val="005D24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D246C"/>
    <w:rPr>
      <w:i/>
      <w:iCs/>
      <w:color w:val="2F5496" w:themeColor="accent1" w:themeShade="BF"/>
    </w:rPr>
  </w:style>
  <w:style w:type="character" w:styleId="ab">
    <w:name w:val="Intense Reference"/>
    <w:basedOn w:val="a0"/>
    <w:uiPriority w:val="32"/>
    <w:qFormat/>
    <w:rsid w:val="005D246C"/>
    <w:rPr>
      <w:b/>
      <w:bCs/>
      <w:smallCaps/>
      <w:color w:val="2F5496" w:themeColor="accent1" w:themeShade="BF"/>
      <w:spacing w:val="5"/>
    </w:rPr>
  </w:style>
  <w:style w:type="paragraph" w:styleId="ac">
    <w:name w:val="header"/>
    <w:basedOn w:val="a"/>
    <w:link w:val="ad"/>
    <w:uiPriority w:val="99"/>
    <w:unhideWhenUsed/>
    <w:rsid w:val="00984BC5"/>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984BC5"/>
    <w:rPr>
      <w:rFonts w:ascii="Calibri" w:eastAsia="Calibri" w:hAnsi="Calibri" w:cs="Times New Roman"/>
      <w:kern w:val="0"/>
      <w14:ligatures w14:val="none"/>
    </w:rPr>
  </w:style>
  <w:style w:type="paragraph" w:styleId="ae">
    <w:name w:val="footer"/>
    <w:basedOn w:val="a"/>
    <w:link w:val="af"/>
    <w:uiPriority w:val="99"/>
    <w:unhideWhenUsed/>
    <w:rsid w:val="00984BC5"/>
    <w:pPr>
      <w:tabs>
        <w:tab w:val="center" w:pos="4677"/>
        <w:tab w:val="right" w:pos="9355"/>
      </w:tabs>
      <w:spacing w:after="0" w:line="240" w:lineRule="auto"/>
    </w:pPr>
  </w:style>
  <w:style w:type="character" w:customStyle="1" w:styleId="af">
    <w:name w:val="Нижний колонтитул Знак"/>
    <w:basedOn w:val="a0"/>
    <w:link w:val="ae"/>
    <w:uiPriority w:val="99"/>
    <w:rsid w:val="00984BC5"/>
    <w:rPr>
      <w:rFonts w:ascii="Calibri" w:eastAsia="Calibri" w:hAnsi="Calibri" w:cs="Times New Roman"/>
      <w:kern w:val="0"/>
      <w14:ligatures w14:val="none"/>
    </w:rPr>
  </w:style>
  <w:style w:type="character" w:styleId="af0">
    <w:name w:val="Hyperlink"/>
    <w:basedOn w:val="a0"/>
    <w:uiPriority w:val="99"/>
    <w:unhideWhenUsed/>
    <w:rsid w:val="001063D3"/>
    <w:rPr>
      <w:color w:val="0563C1" w:themeColor="hyperlink"/>
      <w:u w:val="single"/>
    </w:rPr>
  </w:style>
  <w:style w:type="character" w:styleId="af1">
    <w:name w:val="Unresolved Mention"/>
    <w:basedOn w:val="a0"/>
    <w:uiPriority w:val="99"/>
    <w:semiHidden/>
    <w:unhideWhenUsed/>
    <w:rsid w:val="001063D3"/>
    <w:rPr>
      <w:color w:val="605E5C"/>
      <w:shd w:val="clear" w:color="auto" w:fill="E1DFDD"/>
    </w:rPr>
  </w:style>
  <w:style w:type="table" w:styleId="af2">
    <w:name w:val="Table Grid"/>
    <w:basedOn w:val="a1"/>
    <w:uiPriority w:val="39"/>
    <w:rsid w:val="00106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s.org/publications/202509-commentary-otc-derivatives" TargetMode="External"/><Relationship Id="rId13" Type="http://schemas.openxmlformats.org/officeDocument/2006/relationships/hyperlink" Target="https://www.snb.ch/en/publications/communication/press-releases/2015/pre_20150115" TargetMode="External"/><Relationship Id="rId3" Type="http://schemas.openxmlformats.org/officeDocument/2006/relationships/webSettings" Target="webSettings.xml"/><Relationship Id="rId7" Type="http://schemas.openxmlformats.org/officeDocument/2006/relationships/hyperlink" Target="https://www.imf.org/en/Blogs/Articles/2021/08/16/from-the-history-books-the-rethinking-of-the-international-monetary-system" TargetMode="External"/><Relationship Id="rId12" Type="http://schemas.openxmlformats.org/officeDocument/2006/relationships/hyperlink" Target="https://www.imf.org/en/news/articles/2015/09/14/01/49/pr9935"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elibrary.imf.org/view/journals/023/0028/000/article-A020-en.xml" TargetMode="External"/><Relationship Id="rId11" Type="http://schemas.openxmlformats.org/officeDocument/2006/relationships/hyperlink" Target="https://www.imf.org/external/pubs/ft/op/opfinsec/op188.pdf"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www.elibrary.imf.org/view/journals/001/1996/006/article-A001-en.xml" TargetMode="External"/><Relationship Id="rId4" Type="http://schemas.openxmlformats.org/officeDocument/2006/relationships/footnotes" Target="footnotes.xml"/><Relationship Id="rId9" Type="http://schemas.openxmlformats.org/officeDocument/2006/relationships/hyperlink" Target="https://www.bis.org/statistics/rpfx25_fx.pdf" TargetMode="External"/><Relationship Id="rId14" Type="http://schemas.openxmlformats.org/officeDocument/2006/relationships/hyperlink" Target="https://www.elibrary.imf.org/view/journals/001/1999/028/article-A001-en.x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4464</Words>
  <Characters>25447</Characters>
  <Application>Microsoft Office Word</Application>
  <DocSecurity>0</DocSecurity>
  <Lines>212</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DYF lhb</dc:creator>
  <cp:keywords/>
  <dc:description/>
  <cp:lastModifiedBy>DYF lhb</cp:lastModifiedBy>
  <cp:revision>2</cp:revision>
  <dcterms:created xsi:type="dcterms:W3CDTF">2026-10-01T10:49:00Z</dcterms:created>
  <dcterms:modified xsi:type="dcterms:W3CDTF">2026-10-01T10:49:00Z</dcterms:modified>
</cp:coreProperties>
</file>