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4EA1" w14:textId="080D78D6" w:rsidR="006A7DD2" w:rsidRPr="006A7DD2" w:rsidRDefault="006A7DD2" w:rsidP="006A7DD2">
      <w:pPr>
        <w:rPr>
          <w:rFonts w:asciiTheme="majorHAnsi" w:hAnsiTheme="majorHAnsi" w:cstheme="majorHAnsi"/>
          <w:sz w:val="40"/>
          <w:szCs w:val="40"/>
        </w:rPr>
      </w:pPr>
      <w:r w:rsidRPr="006A7DD2">
        <w:rPr>
          <w:rFonts w:asciiTheme="majorHAnsi" w:hAnsiTheme="majorHAnsi" w:cstheme="majorHAnsi"/>
          <w:sz w:val="40"/>
          <w:szCs w:val="40"/>
        </w:rPr>
        <w:t>SISTEMA DE ENVÍOS</w:t>
      </w:r>
    </w:p>
    <w:p w14:paraId="6307E4EF" w14:textId="46E585A9" w:rsidR="006A7DD2" w:rsidRDefault="006A7DD2" w:rsidP="006A7DD2">
      <w:r>
        <w:t>Evidencia de ejecución</w:t>
      </w:r>
    </w:p>
    <w:p w14:paraId="667C0715" w14:textId="1C42B9FB" w:rsidR="006A7DD2" w:rsidRDefault="006A7DD2" w:rsidP="006A7DD2">
      <w:r>
        <w:t xml:space="preserve">Nombre completo: </w:t>
      </w:r>
      <w:r>
        <w:t xml:space="preserve">Dylan </w:t>
      </w:r>
      <w:proofErr w:type="spellStart"/>
      <w:r>
        <w:t>Sneyder</w:t>
      </w:r>
      <w:proofErr w:type="spellEnd"/>
      <w:r>
        <w:t xml:space="preserve"> </w:t>
      </w:r>
      <w:proofErr w:type="spellStart"/>
      <w:r>
        <w:t>Garcia</w:t>
      </w:r>
      <w:proofErr w:type="spellEnd"/>
      <w:r>
        <w:t xml:space="preserve"> Sosa</w:t>
      </w:r>
    </w:p>
    <w:p w14:paraId="13999525" w14:textId="7548A1A5" w:rsidR="006A7DD2" w:rsidRDefault="006A7DD2" w:rsidP="006A7DD2">
      <w:r>
        <w:t xml:space="preserve">Número de carné: </w:t>
      </w:r>
      <w:r>
        <w:t>9941-25-21652</w:t>
      </w:r>
    </w:p>
    <w:p w14:paraId="1944F8E8" w14:textId="0833675B" w:rsidR="006A7DD2" w:rsidRDefault="006A7DD2" w:rsidP="006A7DD2">
      <w:r>
        <w:t xml:space="preserve">Curso y sección: </w:t>
      </w:r>
      <w:r>
        <w:t>Programación II sección C</w:t>
      </w:r>
    </w:p>
    <w:p w14:paraId="51D51133" w14:textId="3710B10D" w:rsidR="006A7DD2" w:rsidRDefault="006A7DD2" w:rsidP="006A7DD2">
      <w:r>
        <w:t>Nombre de la tarea: Sistema de Envíos en Java</w:t>
      </w:r>
    </w:p>
    <w:p w14:paraId="7601AD29" w14:textId="77777777" w:rsidR="006A7DD2" w:rsidRDefault="006A7DD2" w:rsidP="006A7DD2">
      <w:r>
        <w:t>Enlace del repositorio de GitHub:</w:t>
      </w:r>
    </w:p>
    <w:p w14:paraId="3C238AB3" w14:textId="73A4694F" w:rsidR="006A7DD2" w:rsidRDefault="006A7DD2" w:rsidP="006A7DD2">
      <w:r>
        <w:t>[Enlace del repositorio</w:t>
      </w:r>
      <w:r w:rsidR="000A5056">
        <w:t xml:space="preserve"> pendiente</w:t>
      </w:r>
      <w:r>
        <w:t>]</w:t>
      </w:r>
    </w:p>
    <w:p w14:paraId="5B71D38D" w14:textId="77777777" w:rsidR="006A7DD2" w:rsidRDefault="006A7DD2" w:rsidP="006A7DD2"/>
    <w:p w14:paraId="43F18FEF" w14:textId="4864E2FA" w:rsidR="006A7DD2" w:rsidRDefault="006A7DD2">
      <w:r>
        <w:br w:type="page"/>
      </w:r>
    </w:p>
    <w:p w14:paraId="1391A859" w14:textId="45ADA9F4" w:rsidR="006A7DD2" w:rsidRDefault="006A7DD2" w:rsidP="006A7DD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44339199" wp14:editId="5AFFEE42">
            <wp:simplePos x="0" y="0"/>
            <wp:positionH relativeFrom="margin">
              <wp:align>center</wp:align>
            </wp:positionH>
            <wp:positionV relativeFrom="paragraph">
              <wp:posOffset>246866</wp:posOffset>
            </wp:positionV>
            <wp:extent cx="7216140" cy="3800475"/>
            <wp:effectExtent l="0" t="0" r="3810" b="9525"/>
            <wp:wrapSquare wrapText="bothSides"/>
            <wp:docPr id="924917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7772" name="Imagen 924917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7DD2">
        <w:rPr>
          <w:rFonts w:asciiTheme="majorHAnsi" w:hAnsiTheme="majorHAnsi" w:cstheme="majorHAnsi"/>
          <w:sz w:val="24"/>
          <w:szCs w:val="24"/>
        </w:rPr>
        <w:t>Evidencia 1. Estructura del proyecto</w:t>
      </w:r>
    </w:p>
    <w:p w14:paraId="46AD77AA" w14:textId="1C15681B" w:rsidR="006A7DD2" w:rsidRDefault="006A7DD2" w:rsidP="006A7DD2">
      <w:pPr>
        <w:rPr>
          <w:rFonts w:asciiTheme="majorHAnsi" w:hAnsiTheme="majorHAnsi" w:cstheme="majorHAnsi"/>
          <w:sz w:val="24"/>
          <w:szCs w:val="24"/>
        </w:rPr>
      </w:pPr>
    </w:p>
    <w:p w14:paraId="04CDCFEB" w14:textId="25514F04" w:rsidR="006A7DD2" w:rsidRDefault="006A7DD2" w:rsidP="006A7DD2">
      <w:pPr>
        <w:rPr>
          <w:rFonts w:cstheme="minorHAnsi"/>
          <w:sz w:val="24"/>
          <w:szCs w:val="24"/>
        </w:rPr>
      </w:pPr>
      <w:r w:rsidRPr="006A7DD2">
        <w:rPr>
          <w:rFonts w:cstheme="minorHAnsi"/>
          <w:sz w:val="24"/>
          <w:szCs w:val="24"/>
        </w:rPr>
        <w:t>Esta evidencia demuestra la estructura del proyecto y la organización de las clases Java requeridas.</w:t>
      </w:r>
    </w:p>
    <w:p w14:paraId="2E59B67A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798D8C7E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68CD9F8D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3D7DBAF4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339B180D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0FFD71D7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20060F30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38F8E56C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1CED0B60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6979E0F0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0A6CB74F" w14:textId="30717302" w:rsidR="006A7DD2" w:rsidRDefault="006A7DD2" w:rsidP="006A7DD2">
      <w:pPr>
        <w:rPr>
          <w:rFonts w:cstheme="minorHAnsi"/>
          <w:sz w:val="24"/>
          <w:szCs w:val="24"/>
        </w:rPr>
      </w:pPr>
    </w:p>
    <w:p w14:paraId="144C3160" w14:textId="04769E15" w:rsidR="006A7DD2" w:rsidRDefault="006A7DD2" w:rsidP="006A7DD2">
      <w:pPr>
        <w:rPr>
          <w:rFonts w:asciiTheme="majorHAnsi" w:hAnsiTheme="majorHAnsi" w:cstheme="maj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25C1CFB7" wp14:editId="559B4F4A">
            <wp:simplePos x="0" y="0"/>
            <wp:positionH relativeFrom="margin">
              <wp:align>center</wp:align>
            </wp:positionH>
            <wp:positionV relativeFrom="paragraph">
              <wp:posOffset>337548</wp:posOffset>
            </wp:positionV>
            <wp:extent cx="7216140" cy="3778885"/>
            <wp:effectExtent l="0" t="0" r="3810" b="0"/>
            <wp:wrapSquare wrapText="bothSides"/>
            <wp:docPr id="3202897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89708" name="Imagen 3202897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7DD2">
        <w:rPr>
          <w:rFonts w:asciiTheme="majorHAnsi" w:hAnsiTheme="majorHAnsi" w:cstheme="majorHAnsi"/>
          <w:sz w:val="24"/>
          <w:szCs w:val="24"/>
        </w:rPr>
        <w:t xml:space="preserve">Evidencia </w:t>
      </w:r>
      <w:r>
        <w:rPr>
          <w:rFonts w:asciiTheme="majorHAnsi" w:hAnsiTheme="majorHAnsi" w:cstheme="majorHAnsi"/>
          <w:sz w:val="24"/>
          <w:szCs w:val="24"/>
        </w:rPr>
        <w:t>2</w:t>
      </w:r>
      <w:r w:rsidRPr="006A7DD2">
        <w:rPr>
          <w:rFonts w:asciiTheme="majorHAnsi" w:hAnsiTheme="majorHAnsi" w:cstheme="majorHAnsi"/>
          <w:sz w:val="24"/>
          <w:szCs w:val="24"/>
        </w:rPr>
        <w:t xml:space="preserve">. </w:t>
      </w:r>
      <w:r w:rsidRPr="006A7DD2">
        <w:rPr>
          <w:rFonts w:asciiTheme="majorHAnsi" w:hAnsiTheme="majorHAnsi" w:cstheme="majorHAnsi"/>
          <w:sz w:val="24"/>
          <w:szCs w:val="24"/>
        </w:rPr>
        <w:t>E</w:t>
      </w:r>
      <w:r>
        <w:rPr>
          <w:rFonts w:asciiTheme="majorHAnsi" w:hAnsiTheme="majorHAnsi" w:cstheme="majorHAnsi"/>
          <w:sz w:val="24"/>
          <w:szCs w:val="24"/>
        </w:rPr>
        <w:t>nvió Nacional</w:t>
      </w:r>
    </w:p>
    <w:p w14:paraId="6BA1ABC8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0A5D395A" w14:textId="71A54053" w:rsidR="006A7DD2" w:rsidRDefault="006A7DD2" w:rsidP="006A7DD2">
      <w:pPr>
        <w:rPr>
          <w:rFonts w:cstheme="minorHAnsi"/>
          <w:sz w:val="24"/>
          <w:szCs w:val="24"/>
        </w:rPr>
      </w:pPr>
      <w:r w:rsidRPr="006A7DD2">
        <w:rPr>
          <w:rFonts w:cstheme="minorHAnsi"/>
          <w:sz w:val="24"/>
          <w:szCs w:val="24"/>
        </w:rPr>
        <w:t>Esta evidencia demuestra el registro de un envío nacional y el cálculo correcto del costo base, cargo por distancia y costo final.</w:t>
      </w:r>
    </w:p>
    <w:p w14:paraId="1ABCECCD" w14:textId="3B5D51EC" w:rsidR="006A7DD2" w:rsidRDefault="006A7DD2" w:rsidP="006A7DD2">
      <w:pPr>
        <w:rPr>
          <w:rFonts w:cstheme="minorHAnsi"/>
          <w:sz w:val="24"/>
          <w:szCs w:val="24"/>
        </w:rPr>
      </w:pPr>
    </w:p>
    <w:p w14:paraId="24CFF627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2CAC2221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1AC6CA89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6626B447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0642EA55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21E4D77E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1DED1ABC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7E4D4A02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582577A3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645295A3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7BC30068" w14:textId="6569B33E" w:rsidR="006A7DD2" w:rsidRDefault="006A7DD2" w:rsidP="006A7DD2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268A5B2" wp14:editId="230E2B71">
            <wp:simplePos x="0" y="0"/>
            <wp:positionH relativeFrom="margin">
              <wp:align>center</wp:align>
            </wp:positionH>
            <wp:positionV relativeFrom="paragraph">
              <wp:posOffset>310019</wp:posOffset>
            </wp:positionV>
            <wp:extent cx="7077075" cy="3706495"/>
            <wp:effectExtent l="0" t="0" r="9525" b="8255"/>
            <wp:wrapSquare wrapText="bothSides"/>
            <wp:docPr id="15875953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95326" name="Imagen 15875953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7DD2">
        <w:rPr>
          <w:rFonts w:asciiTheme="majorHAnsi" w:hAnsiTheme="majorHAnsi" w:cstheme="majorHAnsi"/>
          <w:sz w:val="24"/>
          <w:szCs w:val="24"/>
        </w:rPr>
        <w:t xml:space="preserve">Evidencia </w:t>
      </w:r>
      <w:r>
        <w:rPr>
          <w:rFonts w:asciiTheme="majorHAnsi" w:hAnsiTheme="majorHAnsi" w:cstheme="majorHAnsi"/>
          <w:sz w:val="24"/>
          <w:szCs w:val="24"/>
        </w:rPr>
        <w:t>3</w:t>
      </w:r>
      <w:r w:rsidRPr="006A7DD2">
        <w:rPr>
          <w:rFonts w:asciiTheme="majorHAnsi" w:hAnsiTheme="majorHAnsi" w:cstheme="majorHAnsi"/>
          <w:sz w:val="24"/>
          <w:szCs w:val="24"/>
        </w:rPr>
        <w:t>. E</w:t>
      </w:r>
      <w:r>
        <w:rPr>
          <w:rFonts w:asciiTheme="majorHAnsi" w:hAnsiTheme="majorHAnsi" w:cstheme="majorHAnsi"/>
          <w:sz w:val="24"/>
          <w:szCs w:val="24"/>
        </w:rPr>
        <w:t xml:space="preserve">nvió </w:t>
      </w:r>
      <w:r>
        <w:rPr>
          <w:rFonts w:asciiTheme="majorHAnsi" w:hAnsiTheme="majorHAnsi" w:cstheme="majorHAnsi"/>
          <w:sz w:val="24"/>
          <w:szCs w:val="24"/>
        </w:rPr>
        <w:t>Interna</w:t>
      </w:r>
      <w:r>
        <w:rPr>
          <w:rFonts w:asciiTheme="majorHAnsi" w:hAnsiTheme="majorHAnsi" w:cstheme="majorHAnsi"/>
          <w:sz w:val="24"/>
          <w:szCs w:val="24"/>
        </w:rPr>
        <w:t>cional</w:t>
      </w:r>
    </w:p>
    <w:p w14:paraId="239678D3" w14:textId="1A9B01AE" w:rsidR="006A7DD2" w:rsidRDefault="006A7DD2" w:rsidP="006A7DD2">
      <w:pPr>
        <w:rPr>
          <w:rFonts w:cstheme="minorHAnsi"/>
          <w:sz w:val="24"/>
          <w:szCs w:val="24"/>
        </w:rPr>
      </w:pPr>
    </w:p>
    <w:p w14:paraId="17B5F61F" w14:textId="23852777" w:rsidR="006A7DD2" w:rsidRDefault="00232D9A" w:rsidP="006A7DD2">
      <w:pPr>
        <w:rPr>
          <w:rFonts w:cstheme="minorHAnsi"/>
          <w:sz w:val="24"/>
          <w:szCs w:val="24"/>
        </w:rPr>
      </w:pPr>
      <w:r w:rsidRPr="00232D9A">
        <w:rPr>
          <w:rFonts w:cstheme="minorHAnsi"/>
          <w:sz w:val="24"/>
          <w:szCs w:val="24"/>
        </w:rPr>
        <w:t>Esta evidencia demuestra el registro de un envío internacional y la aplicación del cargo fijo y del recargo del 12% sobre el costo base.</w:t>
      </w:r>
    </w:p>
    <w:p w14:paraId="02FC5716" w14:textId="555D2AC6" w:rsidR="006A7DD2" w:rsidRDefault="006A7DD2" w:rsidP="006A7DD2">
      <w:pPr>
        <w:rPr>
          <w:rFonts w:cstheme="minorHAnsi"/>
          <w:sz w:val="24"/>
          <w:szCs w:val="24"/>
        </w:rPr>
      </w:pPr>
    </w:p>
    <w:p w14:paraId="5B15B6EF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0BE42323" w14:textId="6DB8A125" w:rsidR="006A7DD2" w:rsidRDefault="006A7DD2" w:rsidP="006A7DD2">
      <w:pPr>
        <w:rPr>
          <w:rFonts w:cstheme="minorHAnsi"/>
          <w:sz w:val="24"/>
          <w:szCs w:val="24"/>
        </w:rPr>
      </w:pPr>
    </w:p>
    <w:p w14:paraId="7E167077" w14:textId="77777777" w:rsidR="006A7DD2" w:rsidRDefault="006A7DD2" w:rsidP="006A7DD2">
      <w:pPr>
        <w:rPr>
          <w:rFonts w:cstheme="minorHAnsi"/>
          <w:sz w:val="24"/>
          <w:szCs w:val="24"/>
        </w:rPr>
      </w:pPr>
    </w:p>
    <w:p w14:paraId="299E80AD" w14:textId="34865AAB" w:rsidR="006A7DD2" w:rsidRDefault="006A7DD2" w:rsidP="006A7DD2">
      <w:pPr>
        <w:rPr>
          <w:rFonts w:cstheme="minorHAnsi"/>
          <w:sz w:val="24"/>
          <w:szCs w:val="24"/>
        </w:rPr>
      </w:pPr>
    </w:p>
    <w:p w14:paraId="22572AEA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3BA15696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4D553B44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08DDEB02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7C035CA8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211A39FF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6D9E7A32" w14:textId="76D874B8" w:rsidR="00232D9A" w:rsidRDefault="00232D9A" w:rsidP="006A7DD2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043AB46" wp14:editId="1E28A80D">
            <wp:simplePos x="0" y="0"/>
            <wp:positionH relativeFrom="margin">
              <wp:align>center</wp:align>
            </wp:positionH>
            <wp:positionV relativeFrom="paragraph">
              <wp:posOffset>277147</wp:posOffset>
            </wp:positionV>
            <wp:extent cx="7189470" cy="3802380"/>
            <wp:effectExtent l="0" t="0" r="0" b="7620"/>
            <wp:wrapSquare wrapText="bothSides"/>
            <wp:docPr id="17606791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79197" name="Imagen 17606791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947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7DD2">
        <w:rPr>
          <w:rFonts w:asciiTheme="majorHAnsi" w:hAnsiTheme="majorHAnsi" w:cstheme="majorHAnsi"/>
          <w:sz w:val="24"/>
          <w:szCs w:val="24"/>
        </w:rPr>
        <w:t xml:space="preserve">Evidencia </w:t>
      </w:r>
      <w:r>
        <w:rPr>
          <w:rFonts w:asciiTheme="majorHAnsi" w:hAnsiTheme="majorHAnsi" w:cstheme="majorHAnsi"/>
          <w:sz w:val="24"/>
          <w:szCs w:val="24"/>
        </w:rPr>
        <w:t>4. Validación del peso</w:t>
      </w:r>
    </w:p>
    <w:p w14:paraId="6CA70A84" w14:textId="0264FA06" w:rsidR="00232D9A" w:rsidRDefault="00232D9A" w:rsidP="006A7DD2">
      <w:pPr>
        <w:rPr>
          <w:rFonts w:asciiTheme="majorHAnsi" w:hAnsiTheme="majorHAnsi" w:cstheme="majorHAnsi"/>
          <w:sz w:val="24"/>
          <w:szCs w:val="24"/>
        </w:rPr>
      </w:pPr>
    </w:p>
    <w:p w14:paraId="1D39E69D" w14:textId="5D339561" w:rsidR="00232D9A" w:rsidRDefault="00232D9A" w:rsidP="006A7DD2">
      <w:pPr>
        <w:rPr>
          <w:rFonts w:cstheme="minorHAnsi"/>
          <w:sz w:val="24"/>
          <w:szCs w:val="24"/>
        </w:rPr>
      </w:pPr>
      <w:r w:rsidRPr="00232D9A">
        <w:rPr>
          <w:rFonts w:cstheme="minorHAnsi"/>
          <w:sz w:val="24"/>
          <w:szCs w:val="24"/>
        </w:rPr>
        <w:t>Esta evidencia demuestra que el programa rechaza un peso igual o menor que cero y solicita nuevamente un valor válido.</w:t>
      </w:r>
    </w:p>
    <w:p w14:paraId="75074479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794312D1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34C3C153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25231E90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059C47A7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528A4DB9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5EE1ADEE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60482CFA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2B598B36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6678B52B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188A6E5B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6A8A4554" w14:textId="18DC13C0" w:rsidR="00232D9A" w:rsidRDefault="00232D9A" w:rsidP="006A7DD2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1D7AC3B0" wp14:editId="44D05BDD">
            <wp:simplePos x="0" y="0"/>
            <wp:positionH relativeFrom="margin">
              <wp:align>center</wp:align>
            </wp:positionH>
            <wp:positionV relativeFrom="paragraph">
              <wp:posOffset>252156</wp:posOffset>
            </wp:positionV>
            <wp:extent cx="7290435" cy="3807460"/>
            <wp:effectExtent l="0" t="0" r="5715" b="2540"/>
            <wp:wrapSquare wrapText="bothSides"/>
            <wp:docPr id="9936343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34318" name="Imagen 9936343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043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24"/>
          <w:szCs w:val="24"/>
        </w:rPr>
        <w:t>Evidencia.5 Menú nuevamente</w:t>
      </w:r>
    </w:p>
    <w:p w14:paraId="139A2D98" w14:textId="3A6391C5" w:rsidR="00232D9A" w:rsidRDefault="00232D9A" w:rsidP="006A7DD2">
      <w:pPr>
        <w:rPr>
          <w:rFonts w:cstheme="minorHAnsi"/>
          <w:sz w:val="24"/>
          <w:szCs w:val="24"/>
        </w:rPr>
      </w:pPr>
    </w:p>
    <w:p w14:paraId="432F0C7E" w14:textId="7CF8744C" w:rsidR="00232D9A" w:rsidRDefault="00232D9A" w:rsidP="006A7DD2">
      <w:pPr>
        <w:rPr>
          <w:rFonts w:cstheme="minorHAnsi"/>
          <w:sz w:val="24"/>
          <w:szCs w:val="24"/>
        </w:rPr>
      </w:pPr>
      <w:r w:rsidRPr="00232D9A">
        <w:rPr>
          <w:rFonts w:cstheme="minorHAnsi"/>
          <w:sz w:val="24"/>
          <w:szCs w:val="24"/>
        </w:rPr>
        <w:t>Esta evidencia demuestra que el programa permite registrar otro envío y retorna al menú principal sin finalizar la ejecución.</w:t>
      </w:r>
    </w:p>
    <w:p w14:paraId="29ECCE43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4424633A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5E64221C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616E7F5C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41829013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0752CDC0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7863CB1D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2C15BB87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0BFC2A45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4757698A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543476C2" w14:textId="77777777" w:rsidR="00232D9A" w:rsidRDefault="00232D9A" w:rsidP="006A7DD2">
      <w:pPr>
        <w:rPr>
          <w:rFonts w:cstheme="minorHAnsi"/>
          <w:sz w:val="24"/>
          <w:szCs w:val="24"/>
        </w:rPr>
      </w:pPr>
    </w:p>
    <w:p w14:paraId="13E6DFE5" w14:textId="5B4B93CE" w:rsidR="00232D9A" w:rsidRDefault="00232D9A" w:rsidP="006A7DD2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232D9A">
        <w:rPr>
          <w:rFonts w:asciiTheme="majorHAnsi" w:hAnsiTheme="majorHAnsi" w:cstheme="majorHAnsi"/>
          <w:b/>
          <w:bCs/>
          <w:sz w:val="36"/>
          <w:szCs w:val="36"/>
        </w:rPr>
        <w:lastRenderedPageBreak/>
        <w:t xml:space="preserve">Explicación de </w:t>
      </w:r>
      <w:r>
        <w:rPr>
          <w:rFonts w:asciiTheme="majorHAnsi" w:hAnsiTheme="majorHAnsi" w:cstheme="majorHAnsi"/>
          <w:b/>
          <w:bCs/>
          <w:sz w:val="36"/>
          <w:szCs w:val="36"/>
        </w:rPr>
        <w:t xml:space="preserve">los </w:t>
      </w:r>
      <w:r w:rsidRPr="00232D9A">
        <w:rPr>
          <w:rFonts w:asciiTheme="majorHAnsi" w:hAnsiTheme="majorHAnsi" w:cstheme="majorHAnsi"/>
          <w:b/>
          <w:bCs/>
          <w:sz w:val="36"/>
          <w:szCs w:val="36"/>
        </w:rPr>
        <w:t>conceptos aplicados</w:t>
      </w:r>
    </w:p>
    <w:p w14:paraId="1FA31119" w14:textId="24122A3D" w:rsidR="00232D9A" w:rsidRPr="00232D9A" w:rsidRDefault="00232D9A" w:rsidP="006A7DD2">
      <w:pPr>
        <w:rPr>
          <w:rFonts w:cstheme="minorHAnsi"/>
          <w:sz w:val="24"/>
          <w:szCs w:val="24"/>
        </w:rPr>
      </w:pPr>
      <w:r w:rsidRPr="00232D9A">
        <w:rPr>
          <w:rFonts w:cstheme="minorHAnsi"/>
          <w:sz w:val="24"/>
          <w:szCs w:val="24"/>
        </w:rPr>
        <w:t xml:space="preserve">La clase </w:t>
      </w:r>
      <w:proofErr w:type="spellStart"/>
      <w:r w:rsidRPr="00232D9A">
        <w:rPr>
          <w:rFonts w:cstheme="minorHAnsi"/>
          <w:sz w:val="24"/>
          <w:szCs w:val="24"/>
        </w:rPr>
        <w:t>Envio</w:t>
      </w:r>
      <w:proofErr w:type="spellEnd"/>
      <w:r w:rsidRPr="00232D9A">
        <w:rPr>
          <w:rFonts w:cstheme="minorHAnsi"/>
          <w:sz w:val="24"/>
          <w:szCs w:val="24"/>
        </w:rPr>
        <w:t xml:space="preserve"> funciona como la superclase del sistema, ya que contiene los atributos y métodos comunes de</w:t>
      </w:r>
      <w:r>
        <w:rPr>
          <w:rFonts w:cstheme="minorHAnsi"/>
          <w:sz w:val="24"/>
          <w:szCs w:val="24"/>
        </w:rPr>
        <w:t xml:space="preserve"> todos</w:t>
      </w:r>
      <w:r w:rsidRPr="00232D9A">
        <w:rPr>
          <w:rFonts w:cstheme="minorHAnsi"/>
          <w:sz w:val="24"/>
          <w:szCs w:val="24"/>
        </w:rPr>
        <w:t xml:space="preserve"> los envíos. Las clases </w:t>
      </w:r>
      <w:proofErr w:type="spellStart"/>
      <w:r w:rsidRPr="00232D9A">
        <w:rPr>
          <w:rFonts w:cstheme="minorHAnsi"/>
          <w:sz w:val="24"/>
          <w:szCs w:val="24"/>
        </w:rPr>
        <w:t>EnvioNacional</w:t>
      </w:r>
      <w:proofErr w:type="spellEnd"/>
      <w:r w:rsidRPr="00232D9A">
        <w:rPr>
          <w:rFonts w:cstheme="minorHAnsi"/>
          <w:sz w:val="24"/>
          <w:szCs w:val="24"/>
        </w:rPr>
        <w:t xml:space="preserve"> y </w:t>
      </w:r>
      <w:proofErr w:type="spellStart"/>
      <w:r w:rsidRPr="00232D9A">
        <w:rPr>
          <w:rFonts w:cstheme="minorHAnsi"/>
          <w:sz w:val="24"/>
          <w:szCs w:val="24"/>
        </w:rPr>
        <w:t>EnvioInternacional</w:t>
      </w:r>
      <w:proofErr w:type="spellEnd"/>
      <w:r w:rsidRPr="00232D9A">
        <w:rPr>
          <w:rFonts w:cstheme="minorHAnsi"/>
          <w:sz w:val="24"/>
          <w:szCs w:val="24"/>
        </w:rPr>
        <w:t xml:space="preserve"> heredan de </w:t>
      </w:r>
      <w:proofErr w:type="spellStart"/>
      <w:r w:rsidRPr="00232D9A">
        <w:rPr>
          <w:rFonts w:cstheme="minorHAnsi"/>
          <w:sz w:val="24"/>
          <w:szCs w:val="24"/>
        </w:rPr>
        <w:t>Envio</w:t>
      </w:r>
      <w:proofErr w:type="spellEnd"/>
      <w:r w:rsidRPr="00232D9A">
        <w:rPr>
          <w:rFonts w:cstheme="minorHAnsi"/>
          <w:sz w:val="24"/>
          <w:szCs w:val="24"/>
        </w:rPr>
        <w:t xml:space="preserve"> y agregan sus propias características. El método </w:t>
      </w:r>
      <w:proofErr w:type="spellStart"/>
      <w:proofErr w:type="gramStart"/>
      <w:r w:rsidRPr="00232D9A">
        <w:rPr>
          <w:rFonts w:cstheme="minorHAnsi"/>
          <w:sz w:val="24"/>
          <w:szCs w:val="24"/>
        </w:rPr>
        <w:t>calcularCostoFinal</w:t>
      </w:r>
      <w:proofErr w:type="spellEnd"/>
      <w:r w:rsidRPr="00232D9A">
        <w:rPr>
          <w:rFonts w:cstheme="minorHAnsi"/>
          <w:sz w:val="24"/>
          <w:szCs w:val="24"/>
        </w:rPr>
        <w:t>(</w:t>
      </w:r>
      <w:proofErr w:type="gramEnd"/>
      <w:r w:rsidRPr="00232D9A">
        <w:rPr>
          <w:rFonts w:cstheme="minorHAnsi"/>
          <w:sz w:val="24"/>
          <w:szCs w:val="24"/>
        </w:rPr>
        <w:t>) fue sobrescrito en ambas clases para aplicar las reglas de cálculo correspondientes</w:t>
      </w:r>
      <w:r>
        <w:rPr>
          <w:rFonts w:cstheme="minorHAnsi"/>
          <w:sz w:val="24"/>
          <w:szCs w:val="24"/>
        </w:rPr>
        <w:t xml:space="preserve"> a cada uno de los casos</w:t>
      </w:r>
      <w:r w:rsidRPr="00232D9A">
        <w:rPr>
          <w:rFonts w:cstheme="minorHAnsi"/>
          <w:sz w:val="24"/>
          <w:szCs w:val="24"/>
        </w:rPr>
        <w:t xml:space="preserve">. El método </w:t>
      </w:r>
      <w:proofErr w:type="spellStart"/>
      <w:proofErr w:type="gramStart"/>
      <w:r w:rsidRPr="00232D9A">
        <w:rPr>
          <w:rFonts w:cstheme="minorHAnsi"/>
          <w:sz w:val="24"/>
          <w:szCs w:val="24"/>
        </w:rPr>
        <w:t>mostrarResumen</w:t>
      </w:r>
      <w:proofErr w:type="spellEnd"/>
      <w:r w:rsidRPr="00232D9A">
        <w:rPr>
          <w:rFonts w:cstheme="minorHAnsi"/>
          <w:sz w:val="24"/>
          <w:szCs w:val="24"/>
        </w:rPr>
        <w:t>(</w:t>
      </w:r>
      <w:proofErr w:type="gramEnd"/>
      <w:r w:rsidRPr="00232D9A">
        <w:rPr>
          <w:rFonts w:cstheme="minorHAnsi"/>
          <w:sz w:val="24"/>
          <w:szCs w:val="24"/>
        </w:rPr>
        <w:t xml:space="preserve">) fue sobrecargado mediante una segunda versión que recibe un valor booleano para mostrar el desglose del cálculo. El polimorfismo se demuestra en Main al utilizar una variable de tipo </w:t>
      </w:r>
      <w:proofErr w:type="spellStart"/>
      <w:r w:rsidRPr="00232D9A">
        <w:rPr>
          <w:rFonts w:cstheme="minorHAnsi"/>
          <w:sz w:val="24"/>
          <w:szCs w:val="24"/>
        </w:rPr>
        <w:t>Envio</w:t>
      </w:r>
      <w:proofErr w:type="spellEnd"/>
      <w:r w:rsidRPr="00232D9A">
        <w:rPr>
          <w:rFonts w:cstheme="minorHAnsi"/>
          <w:sz w:val="24"/>
          <w:szCs w:val="24"/>
        </w:rPr>
        <w:t xml:space="preserve"> para almacenar objetos de </w:t>
      </w:r>
      <w:proofErr w:type="spellStart"/>
      <w:r w:rsidRPr="00232D9A">
        <w:rPr>
          <w:rFonts w:cstheme="minorHAnsi"/>
          <w:sz w:val="24"/>
          <w:szCs w:val="24"/>
        </w:rPr>
        <w:t>EnvioNacional</w:t>
      </w:r>
      <w:proofErr w:type="spellEnd"/>
      <w:r w:rsidRPr="00232D9A">
        <w:rPr>
          <w:rFonts w:cstheme="minorHAnsi"/>
          <w:sz w:val="24"/>
          <w:szCs w:val="24"/>
        </w:rPr>
        <w:t xml:space="preserve"> o </w:t>
      </w:r>
      <w:proofErr w:type="spellStart"/>
      <w:r w:rsidRPr="00232D9A">
        <w:rPr>
          <w:rFonts w:cstheme="minorHAnsi"/>
          <w:sz w:val="24"/>
          <w:szCs w:val="24"/>
        </w:rPr>
        <w:t>EnvioInternacional</w:t>
      </w:r>
      <w:proofErr w:type="spellEnd"/>
      <w:r w:rsidRPr="00232D9A">
        <w:rPr>
          <w:rFonts w:cstheme="minorHAnsi"/>
          <w:sz w:val="24"/>
          <w:szCs w:val="24"/>
        </w:rPr>
        <w:t xml:space="preserve">. De esta manera, Java ejecuta el método correspondiente según el tipo de objeto </w:t>
      </w:r>
      <w:r>
        <w:rPr>
          <w:rFonts w:cstheme="minorHAnsi"/>
          <w:sz w:val="24"/>
          <w:szCs w:val="24"/>
        </w:rPr>
        <w:t xml:space="preserve">que ha sido </w:t>
      </w:r>
      <w:r w:rsidRPr="00232D9A">
        <w:rPr>
          <w:rFonts w:cstheme="minorHAnsi"/>
          <w:sz w:val="24"/>
          <w:szCs w:val="24"/>
        </w:rPr>
        <w:t>creado.</w:t>
      </w:r>
    </w:p>
    <w:sectPr w:rsidR="00232D9A" w:rsidRPr="00232D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58FC0" w14:textId="77777777" w:rsidR="009B38A6" w:rsidRDefault="009B38A6" w:rsidP="006A7DD2">
      <w:pPr>
        <w:spacing w:after="0" w:line="240" w:lineRule="auto"/>
      </w:pPr>
      <w:r>
        <w:separator/>
      </w:r>
    </w:p>
  </w:endnote>
  <w:endnote w:type="continuationSeparator" w:id="0">
    <w:p w14:paraId="7B4831FF" w14:textId="77777777" w:rsidR="009B38A6" w:rsidRDefault="009B38A6" w:rsidP="006A7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C67CC" w14:textId="77777777" w:rsidR="009B38A6" w:rsidRDefault="009B38A6" w:rsidP="006A7DD2">
      <w:pPr>
        <w:spacing w:after="0" w:line="240" w:lineRule="auto"/>
      </w:pPr>
      <w:r>
        <w:separator/>
      </w:r>
    </w:p>
  </w:footnote>
  <w:footnote w:type="continuationSeparator" w:id="0">
    <w:p w14:paraId="44E744E0" w14:textId="77777777" w:rsidR="009B38A6" w:rsidRDefault="009B38A6" w:rsidP="006A7D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10"/>
    <w:rsid w:val="000A5056"/>
    <w:rsid w:val="00232D9A"/>
    <w:rsid w:val="002427AC"/>
    <w:rsid w:val="0066686C"/>
    <w:rsid w:val="006A7DD2"/>
    <w:rsid w:val="008C7F53"/>
    <w:rsid w:val="009B38A6"/>
    <w:rsid w:val="00DA2A36"/>
    <w:rsid w:val="00EF5310"/>
    <w:rsid w:val="00F8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895EFA"/>
  <w15:chartTrackingRefBased/>
  <w15:docId w15:val="{0FB4BAAD-B0EA-4FA9-B37E-34E4D2F3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3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3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3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3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31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7D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7DD2"/>
  </w:style>
  <w:style w:type="paragraph" w:styleId="Piedepgina">
    <w:name w:val="footer"/>
    <w:basedOn w:val="Normal"/>
    <w:link w:val="PiedepginaCar"/>
    <w:uiPriority w:val="99"/>
    <w:unhideWhenUsed/>
    <w:rsid w:val="006A7D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2521652 - DYLAN SNEYDER GARCIA SOSA</dc:creator>
  <cp:keywords/>
  <dc:description/>
  <cp:lastModifiedBy>2521652 - DYLAN SNEYDER GARCIA SOSA</cp:lastModifiedBy>
  <cp:revision>2</cp:revision>
  <dcterms:created xsi:type="dcterms:W3CDTF">2026-08-30T00:59:00Z</dcterms:created>
  <dcterms:modified xsi:type="dcterms:W3CDTF">2026-08-30T00:59:00Z</dcterms:modified>
</cp:coreProperties>
</file>