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7848C"/>
          <w:sz w:val="18"/>
        </w:rPr>
        <w:t>05  /  ДОКУМЕНТАЦИЯ</w:t>
      </w:r>
    </w:p>
    <w:p>
      <w:pPr>
        <w:pStyle w:val="Title"/>
      </w:pPr>
      <w:r>
        <w:t>Бизнес правила и ограничения</w:t>
      </w:r>
    </w:p>
    <w:p>
      <w:pPr>
        <w:pStyle w:val="SmallNote"/>
      </w:pPr>
      <w:r>
        <w:t>Правила за валидни данни и ограничения на първата версия</w:t>
      </w:r>
    </w:p>
    <w:p>
      <w:pPr>
        <w:pStyle w:val="Heading2"/>
      </w:pPr>
      <w:r>
        <w:t>5.1. Реално наложени правила в SQL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5329"/>
        <w:gridCol w:w="3912"/>
      </w:tblGrid>
      <w:tr>
        <w:trPr>
          <w:cantSplit/>
        </w:trPr>
        <w:tc>
          <w:tcPr>
            <w:tcW w:type="dxa" w:w="532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3912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Как е реализирано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BR-01. Всяка таблица има собствен уникален идентификатор.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PRIMARY KEY и IDENTITY(1,1).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BR-02. Имейлът на потребителя не може да се повтаря.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 за Users.Email.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BR-03. Името на спорт не се повтаря.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 за Sports.SportName.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BR-04. Игрище сочи към съществуващ център и спорт.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FOREIGN KEY в Fields.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BR-05. Резервацията принадлежи на съществуващ потребител и игрище.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FOREIGN KEY в Bookings.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BR-06. Крайният час е след началния.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CHECK (EndTime &gt; StartTime).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BR-07. Разрешени са само два статуса.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CHECK: „Активна“ и „Отказана“.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BR-08. Цената и сумата на плащане са положителни.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CHECK (PricePerHour &gt; 0), CHECK (Amount &gt; 0).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BR-09. Една резервация има най-много едно плащане.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UNIQUE за Payments.BookingID.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BR-10. Задължителните полета не допускат стойност NULL.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NOT NULL за означените колони.</w:t>
            </w:r>
          </w:p>
        </w:tc>
      </w:tr>
    </w:tbl>
    <w:p>
      <w:pPr>
        <w:pStyle w:val="Heading2"/>
      </w:pPr>
      <w:r>
        <w:t>5.2. Планирани бизнес правила (НЕ са наложени в SQL)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bottom w:val="single" w:sz="4" w:color="DAE4EB"/>
          <w:top w:val="single" w:sz="4" w:color="DAE4EB"/>
          <w:left w:val="single" w:sz="4" w:color="DAE4EB"/>
          <w:right w:val="single" w:sz="4" w:color="DAE4EB"/>
          <w:insideH w:val="single" w:sz="4" w:color="DAE4EB"/>
          <w:insideV w:val="single" w:sz="4" w:color="DAE4EB"/>
        </w:tblBorders>
      </w:tblPr>
      <w:tblGrid>
        <w:gridCol w:w="5329"/>
        <w:gridCol w:w="3912"/>
      </w:tblGrid>
      <w:tr>
        <w:trPr>
          <w:cantSplit/>
        </w:trPr>
        <w:tc>
          <w:tcPr>
            <w:tcW w:type="dxa" w:w="5329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Правило</w:t>
            </w:r>
          </w:p>
        </w:tc>
        <w:tc>
          <w:tcPr>
            <w:tcW w:type="dxa" w:w="3912"/>
            <w:shd w:fill="17324D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b/>
                <w:color w:val="FFFFFF"/>
                <w:sz w:val="17"/>
              </w:rPr>
              <w:t>Необходима бъдеща реализация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BR-11. Няма две активни припокриващи се резервации за едно игрище на една дата.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Проверка в транзакция/сървърна логика.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BR-12. Резервация не е в миналото.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Валидация спрямо текуща дата и час.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BR-13. Плащането съответства на цена × продължителност.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Изчисляване и проверка на дължимата сума.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BR-14. Отказаните резервации се управляват по правила за възстановяване на плащане.</w:t>
            </w:r>
          </w:p>
        </w:tc>
        <w:tc>
          <w:tcPr>
            <w:tcW w:type="dxa" w:w="3912"/>
            <w:vAlign w:val="center"/>
            <w:shd w:fill="F2F5F8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Допълнителен статус и логика.</w:t>
            </w:r>
          </w:p>
        </w:tc>
      </w:tr>
      <w:tr>
        <w:trPr>
          <w:cantSplit/>
        </w:trPr>
        <w:tc>
          <w:tcPr>
            <w:tcW w:type="dxa" w:w="5329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BR-15. Разрешени са само определени методи за плащане.</w:t>
            </w:r>
          </w:p>
        </w:tc>
        <w:tc>
          <w:tcPr>
            <w:tcW w:type="dxa" w:w="3912"/>
            <w:vAlign w:val="center"/>
            <w:tcMar>
              <w:top w:w="65" w:type="dxa"/>
              <w:start w:w="95" w:type="dxa"/>
              <w:bottom w:w="55" w:type="dxa"/>
              <w:end w:w="95" w:type="dxa"/>
            </w:tcMar>
          </w:tcPr>
          <w:p>
            <w:pPr>
              <w:pStyle w:val="TableTextCustom"/>
            </w:pPr>
            <w:r>
              <w:rPr>
                <w:sz w:val="16"/>
              </w:rPr>
              <w:t>CHECK или отделна справочна таблица.</w:t>
            </w:r>
          </w:p>
        </w:tc>
      </w:tr>
    </w:tbl>
    <w:p>
      <w:pPr>
        <w:pStyle w:val="Heading2"/>
      </w:pPr>
      <w:r>
        <w:t>5.3. Гранични случаи</w:t>
      </w:r>
    </w:p>
    <w:p>
      <w:pPr>
        <w:pStyle w:val="ListBullet"/>
        <w:ind w:left="397" w:hanging="113"/>
      </w:pPr>
      <w:r>
        <w:t>Начало 18:00 и край 18:00 се отхвърлят от CHECK.</w:t>
      </w:r>
    </w:p>
    <w:p>
      <w:pPr>
        <w:pStyle w:val="ListBullet"/>
        <w:ind w:left="397" w:hanging="113"/>
      </w:pPr>
      <w:r>
        <w:t>Невалиден UserID във Bookings се отхвърля от FOREIGN KEY.</w:t>
      </w:r>
    </w:p>
    <w:p>
      <w:pPr>
        <w:pStyle w:val="ListBullet"/>
        <w:ind w:left="397" w:hanging="113"/>
      </w:pPr>
      <w:r>
        <w:t>Второ плащане към същата резервация се отхвърля от UNIQUE.</w:t>
      </w:r>
    </w:p>
    <w:p>
      <w:pPr>
        <w:pStyle w:val="ListBullet"/>
        <w:ind w:left="397" w:hanging="113"/>
      </w:pPr>
      <w:r>
        <w:t>Две активни резервации със застъпващи се часове могат да бъдат записани: засега няма проверка срещу това.</w:t>
      </w:r>
    </w:p>
    <w:p>
      <w:pPr>
        <w:pStyle w:val="ListBullet"/>
        <w:ind w:left="397" w:hanging="113"/>
      </w:pPr>
      <w:r>
        <w:t>StartTime и EndTime са TIME в рамките на една BookingDate; резервации, преминаващи през полунощ, не се поддържат в текущия модел.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944"/>
            <w:shd w:fill="EAF3F5"/>
            <w:tcMar>
              <w:top w:w="130" w:type="dxa"/>
              <w:start w:w="180" w:type="dxa"/>
              <w:bottom w:w="115" w:type="dxa"/>
              <w:end w:w="180" w:type="dxa"/>
            </w:tcMar>
          </w:tcPr>
          <w:p>
            <w:pPr>
              <w:pStyle w:val="SmallNote"/>
            </w:pPr>
            <w:r>
              <w:rPr>
                <w:b/>
                <w:color w:val="1B5780"/>
                <w:sz w:val="18"/>
              </w:rPr>
              <w:t xml:space="preserve">Проверка:  </w:t>
            </w:r>
            <w:r>
              <w:rPr>
                <w:color w:val="202C37"/>
                <w:sz w:val="18"/>
              </w:rPr>
              <w:t>Бизнес правилата в §5.1 са потвърдени чрез прочит на SQL кода, но не са тествани чрез действително изпълнение в SQL Server.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92" w:right="1049" w:bottom="850" w:left="1247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</w:pPr>
    <w:r>
      <w:rPr>
        <w:color w:val="526577"/>
        <w:sz w:val="15"/>
      </w:rPr>
      <w:t>Информационна система за резервации на спортни игрища</w:t>
    </w:r>
    <w:r>
      <w:t xml:space="preserve">      •      </w:t>
    </w:r>
    <w:r>
      <w:rPr>
        <w:color w:val="526577"/>
        <w:sz w:val="15"/>
      </w:rPr>
      <w:t xml:space="preserve">Стр.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Note"/>
      <w:jc w:val="right"/>
    </w:pPr>
    <w:r>
      <w:rPr>
        <w:b/>
        <w:color w:val="17848C"/>
        <w:sz w:val="15"/>
      </w:rPr>
      <w:t>SPORTSBOOKING  /  ПРОЕКТНА ДОКУМЕНТАЦИЯ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Aptos" w:hAnsi="Aptos"/>
      <w:color w:val="202C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B5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848C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Custom">
    <w:name w:val="TableTextCustom"/>
    <w:pPr>
      <w:spacing w:after="0" w:line="257" w:lineRule="auto"/>
    </w:pPr>
    <w:rPr>
      <w:rFonts w:ascii="Aptos" w:hAnsi="Aptos"/>
      <w:sz w:val="17"/>
    </w:rPr>
  </w:style>
  <w:style w:type="paragraph" w:customStyle="1" w:styleId="SmallNote">
    <w:name w:val="SmallNote"/>
    <w:pPr>
      <w:spacing w:after="120"/>
    </w:pPr>
    <w:rPr>
      <w:rFonts w:ascii="Aptos" w:hAnsi="Aptos"/>
      <w:color w:val="526577"/>
      <w:sz w:val="18"/>
    </w:rPr>
  </w:style>
  <w:style w:type="paragraph" w:customStyle="1" w:styleId="MonoBlock">
    <w:name w:val="MonoBlock"/>
    <w:pPr>
      <w:spacing w:after="0" w:line="240" w:lineRule="auto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Biznes Pravila i Ogranicheniya</dc:title>
  <dc:subject>Университетски проект: MS SQL Server</dc:subject>
  <dc:creator>Екип по проекта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