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7848C"/>
          <w:sz w:val="18"/>
        </w:rPr>
        <w:t>06  /  ДОКУМЕНТАЦИЯ</w:t>
      </w:r>
    </w:p>
    <w:p>
      <w:pPr>
        <w:pStyle w:val="Title"/>
      </w:pPr>
      <w:r>
        <w:t>Стратегия за начални данни</w:t>
      </w:r>
    </w:p>
    <w:p>
      <w:pPr>
        <w:pStyle w:val="SmallNote"/>
      </w:pPr>
      <w:r>
        <w:t>Seed data — план, обхват и проверка</w:t>
      </w:r>
    </w:p>
    <w:p>
      <w:pPr>
        <w:pStyle w:val="Heading2"/>
      </w:pPr>
      <w:r>
        <w:t>6.1. Цел на seed данните</w:t>
      </w:r>
    </w:p>
    <w:p>
      <w:r>
        <w:t>Началните данни позволяват проектът да се демонстрира веднага след създаването на базата. Те са учебни, примерни и не съдържат реални клиентски данни. Включени са както платени, така и неплатени резервации.</w:t>
      </w:r>
    </w:p>
    <w:p>
      <w:pPr>
        <w:pStyle w:val="Heading2"/>
      </w:pPr>
      <w:r>
        <w:t>6.2. Ред на зареждане</w:t>
      </w:r>
    </w:p>
    <w:p>
      <w:r>
        <w:t>Външните ключове изискват първо да се създадат основните записи, след което зависимите. Скриптът се изпълнява в ред: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44"/>
      </w:tblGrid>
      <w:tr>
        <w:tc>
          <w:tcPr>
            <w:tcW w:type="dxa" w:w="9944"/>
            <w:shd w:fill="F2F5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1. Users + Sports + SportsCenters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2. Fields (използва CenterID и SportID)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3. Bookings (използва UserID и FieldID)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4. Payments (използва BookingID)</w:t>
            </w:r>
          </w:p>
        </w:tc>
      </w:tr>
    </w:tbl>
    <w:p>
      <w:pPr>
        <w:pStyle w:val="Heading2"/>
      </w:pPr>
      <w:r>
        <w:t>6.3. Обем и конкретни примерни записи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1757"/>
        <w:gridCol w:w="850"/>
        <w:gridCol w:w="6633"/>
      </w:tblGrid>
      <w:tr>
        <w:trPr>
          <w:cantSplit/>
        </w:trPr>
        <w:tc>
          <w:tcPr>
            <w:tcW w:type="dxa" w:w="1757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Таблица</w:t>
            </w:r>
          </w:p>
        </w:tc>
        <w:tc>
          <w:tcPr>
            <w:tcW w:type="dxa" w:w="850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Брой</w:t>
            </w:r>
          </w:p>
        </w:tc>
        <w:tc>
          <w:tcPr>
            <w:tcW w:type="dxa" w:w="6633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Примерно съдържание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Users</w:t>
            </w:r>
          </w:p>
        </w:tc>
        <w:tc>
          <w:tcPr>
            <w:tcW w:type="dxa" w:w="850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3</w:t>
            </w:r>
          </w:p>
        </w:tc>
        <w:tc>
          <w:tcPr>
            <w:tcW w:type="dxa" w:w="6633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Иван Иванов, Мария Петрова, Георги Георгиев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Sports</w:t>
            </w:r>
          </w:p>
        </w:tc>
        <w:tc>
          <w:tcPr>
            <w:tcW w:type="dxa" w:w="850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3</w:t>
            </w:r>
          </w:p>
        </w:tc>
        <w:tc>
          <w:tcPr>
            <w:tcW w:type="dxa" w:w="6633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Футбол, Тенис, Баскетбол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SportsCenters</w:t>
            </w:r>
          </w:p>
        </w:tc>
        <w:tc>
          <w:tcPr>
            <w:tcW w:type="dxa" w:w="850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2</w:t>
            </w:r>
          </w:p>
        </w:tc>
        <w:tc>
          <w:tcPr>
            <w:tcW w:type="dxa" w:w="6633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Спортен център Изток (София), Спортен център Запад (Пловдив)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Fields</w:t>
            </w:r>
          </w:p>
        </w:tc>
        <w:tc>
          <w:tcPr>
            <w:tcW w:type="dxa" w:w="850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4</w:t>
            </w:r>
          </w:p>
        </w:tc>
        <w:tc>
          <w:tcPr>
            <w:tcW w:type="dxa" w:w="6633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2 футболни игрища, 1 тенис корт, 1 баскетболно игрище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Bookings</w:t>
            </w:r>
          </w:p>
        </w:tc>
        <w:tc>
          <w:tcPr>
            <w:tcW w:type="dxa" w:w="850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3</w:t>
            </w:r>
          </w:p>
        </w:tc>
        <w:tc>
          <w:tcPr>
            <w:tcW w:type="dxa" w:w="6633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2 резервации за 20.10.2026 и 1 за 21.10.2026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Payments</w:t>
            </w:r>
          </w:p>
        </w:tc>
        <w:tc>
          <w:tcPr>
            <w:tcW w:type="dxa" w:w="850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2</w:t>
            </w:r>
          </w:p>
        </w:tc>
        <w:tc>
          <w:tcPr>
            <w:tcW w:type="dxa" w:w="6633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Плащане с карта: 40,00; в брой: 20,00</w:t>
            </w:r>
          </w:p>
        </w:tc>
      </w:tr>
    </w:tbl>
    <w:p>
      <w:pPr>
        <w:pStyle w:val="Heading2"/>
      </w:pPr>
      <w:r>
        <w:t>6.4. Правила за въвеждане</w:t>
      </w:r>
    </w:p>
    <w:p>
      <w:pPr>
        <w:pStyle w:val="ListBullet"/>
        <w:ind w:left="397" w:hanging="113"/>
      </w:pPr>
      <w:r>
        <w:t>Примерните записи се зареждат само след успешно създаване на таблиците.</w:t>
      </w:r>
    </w:p>
    <w:p>
      <w:pPr>
        <w:pStyle w:val="ListBullet"/>
        <w:ind w:left="397" w:hanging="113"/>
      </w:pPr>
      <w:r>
        <w:t>Използват се N-префикси пред кирилските текстове в T-SQL, например N'Футбол'.</w:t>
      </w:r>
    </w:p>
    <w:p>
      <w:pPr>
        <w:pStyle w:val="ListBullet"/>
        <w:ind w:left="397" w:hanging="113"/>
      </w:pPr>
      <w:r>
        <w:t>Резервациите сочат към налични потребители и игрища; плащанията — към налични резервации.</w:t>
      </w:r>
    </w:p>
    <w:p>
      <w:pPr>
        <w:pStyle w:val="ListBullet"/>
        <w:ind w:left="397" w:hanging="113"/>
      </w:pPr>
      <w:r>
        <w:t>Началният скрипт е предназначен за еднократно изпълнение в нова база; второ изпълнение може да даде грешка за съществуваща база или дублиран UNIQUE запис.</w:t>
      </w:r>
    </w:p>
    <w:p>
      <w:pPr>
        <w:pStyle w:val="Heading2"/>
      </w:pPr>
      <w:r>
        <w:t>6.5. Проверка след зареждане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44"/>
      </w:tblGrid>
      <w:tr>
        <w:tc>
          <w:tcPr>
            <w:tcW w:type="dxa" w:w="9944"/>
            <w:shd w:fill="F2F5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SELECT COUNT(*) AS UsersCount FROM Users;       -- 3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SELECT COUNT(*) AS SportsCount FROM Sports;     -- 3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SELECT COUNT(*) AS FieldsCount FROM Fields;     -- 4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SELECT COUNT(*) AS BookingsCount FROM Bookings; -- 3</w:t>
            </w:r>
          </w:p>
          <w:p>
            <w:pPr>
              <w:pStyle w:val="MonoBlock"/>
            </w:pPr>
            <w:r>
              <w:rPr>
                <w:rFonts w:ascii="Consolas" w:hAnsi="Consolas" w:eastAsia="Consolas"/>
                <w:color w:val="17324D"/>
                <w:sz w:val="16"/>
              </w:rPr>
              <w:t>SELECT COUNT(*) AS PaymentsCount FROM Payments; -- 2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44"/>
            <w:shd w:fill="EAF3F5"/>
            <w:tcMar>
              <w:top w:w="130" w:type="dxa"/>
              <w:start w:w="180" w:type="dxa"/>
              <w:bottom w:w="115" w:type="dxa"/>
              <w:end w:w="180" w:type="dxa"/>
            </w:tcMar>
          </w:tcPr>
          <w:p>
            <w:pPr>
              <w:pStyle w:val="SmallNote"/>
            </w:pPr>
            <w:r>
              <w:rPr>
                <w:b/>
                <w:color w:val="1B5780"/>
                <w:sz w:val="18"/>
              </w:rPr>
              <w:t xml:space="preserve">Тестов случай:  </w:t>
            </w:r>
            <w:r>
              <w:rPr>
                <w:color w:val="202C37"/>
                <w:sz w:val="18"/>
              </w:rPr>
              <w:t>Резервация № 3 няма плащане. Това е допустимо, защото таблица Bookings няма изискване всяка резервация да има запис в Payments.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92" w:right="1049" w:bottom="850" w:left="1247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rPr>
        <w:color w:val="526577"/>
        <w:sz w:val="15"/>
      </w:rPr>
      <w:t>Информационна система за резервации на спортни игрища</w:t>
    </w:r>
    <w:r>
      <w:t xml:space="preserve">      •      </w:t>
    </w:r>
    <w:r>
      <w:rPr>
        <w:color w:val="526577"/>
        <w:sz w:val="15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rPr>
        <w:b/>
        <w:color w:val="17848C"/>
        <w:sz w:val="15"/>
      </w:rPr>
      <w:t>SPORTSBOOKING  /  ПРОЕКТНА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202C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578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848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Custom">
    <w:name w:val="TableTextCustom"/>
    <w:pPr>
      <w:spacing w:after="0" w:line="257" w:lineRule="auto"/>
    </w:pPr>
    <w:rPr>
      <w:rFonts w:ascii="Aptos" w:hAnsi="Aptos"/>
      <w:sz w:val="17"/>
    </w:rPr>
  </w:style>
  <w:style w:type="paragraph" w:customStyle="1" w:styleId="SmallNote">
    <w:name w:val="SmallNote"/>
    <w:pPr>
      <w:spacing w:after="120"/>
    </w:pPr>
    <w:rPr>
      <w:rFonts w:ascii="Aptos" w:hAnsi="Aptos"/>
      <w:color w:val="526577"/>
      <w:sz w:val="18"/>
    </w:rPr>
  </w:style>
  <w:style w:type="paragraph" w:customStyle="1" w:styleId="MonoBlock">
    <w:name w:val="MonoBlock"/>
    <w:pPr>
      <w:spacing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Strategiya za Nachalni Danni</dc:title>
  <dc:subject>Университетски проект: MS SQL Server</dc:subject>
  <dc:creator>Екип по проекта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