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6" w:name="vc投资日报-2026年5月24日"/>
    <w:p>
      <w:pPr>
        <w:pStyle w:val="Heading1"/>
      </w:pPr>
      <w:r>
        <w:t xml:space="preserve">VC投资日报 — 2026年5月24日</w:t>
      </w:r>
    </w:p>
    <w:p>
      <w:pPr>
        <w:pStyle w:val="BlockText"/>
      </w:pPr>
      <w:r>
        <w:t xml:space="preserve">本期核心信号：Hark获7亿美元A轮融资、估值60亿美元，Figure AI创始人Brett Adcock二次创业验证”AI硬件+软件闭环”模式；元节智能获千万级种子轮，具身智能从”通用人形”向”垂直场景”分化；SpaceX IPO路演在即，Anthropic $900B融资预计下周交割，AI超级周期的资本定价进入最高潮。</w:t>
      </w:r>
    </w:p>
    <w:p>
      <w:r>
        <w:pict>
          <v:rect style="width:0;height:1.5pt" o:hralign="center" o:hrstd="t" o:hr="t"/>
        </w:pict>
      </w:r>
    </w:p>
    <w:bookmarkStart w:id="23" w:name="一ai应用层信号"/>
    <w:p>
      <w:pPr>
        <w:pStyle w:val="Heading2"/>
      </w:pPr>
      <w:r>
        <w:t xml:space="preserve">一、AI应用层信号</w:t>
      </w:r>
    </w:p>
    <w:bookmarkStart w:id="20" w:name="高优先级"/>
    <w:p>
      <w:pPr>
        <w:pStyle w:val="Heading3"/>
      </w:pPr>
      <w:r>
        <w:t xml:space="preserve">🔥 高优先级</w:t>
      </w:r>
    </w:p>
    <w:p>
      <w:pPr>
        <w:pStyle w:val="FirstParagraph"/>
      </w:pPr>
      <w:r>
        <w:rPr>
          <w:bCs/>
          <w:b/>
        </w:rPr>
        <w:t xml:space="preserve">【P0】Hark完成超7亿美元A轮融资，估值60亿美元（首次提及）</w:t>
      </w:r>
    </w:p>
    <w:p>
      <w:pPr>
        <w:pStyle w:val="BodyText"/>
      </w:pPr>
      <w:r>
        <w:t xml:space="preserve">Hark是一家成立于2025年的美国AI硬件创业公司，由Figure AI创始人兼CEO Brett Adcock创立。2026年5月22日披露完成超7亿美元A轮融资，由Parkway Venture Capital领投，多家机构参投，投后估值达60亿美元。公司聚焦人工智能软件及配套消费硬件产品开发，计划扩展GPU基础设施，产品预计在大型语言模型推出后不久到货。信号在于：Brett Adcock在Figure AI（估值$39B）之后迅速启动第二个AI硬件项目，并获得顶级风投的巨额押注——这验证了”AI硬件+软件闭环”作为独立品类的资本吸引力，而非仅仅是机器人的附属物。</w:t>
      </w:r>
    </w:p>
    <w:p>
      <w:pPr>
        <w:pStyle w:val="BodyText"/>
      </w:pPr>
      <w:r>
        <w:rPr>
          <w:bCs/>
          <w:b/>
        </w:rPr>
        <w:t xml:space="preserve">【P0】LeapMind Growth完成天使+轮融资，CMC资本领投加码AI原生增长Agent</w:t>
      </w:r>
    </w:p>
    <w:p>
      <w:pPr>
        <w:pStyle w:val="BodyText"/>
      </w:pPr>
      <w:r>
        <w:t xml:space="preserve">LeapMind Growth（上海）是一家成立于2025年4月的AI原生增长技术公司。2026年4月底披露完成天使+轮融资，由CMC资本领投。创始人马如平（Rubin）曾任TikTok全球用户增长操盘手、快手增长策略中心负责人、米哈游全球用户增长负责人，累计主导超50亿美元规模的增长项目。核心产品GrowthGPT是一款自主迭代增长Agent，以AI Agent接管增长执行全链路——从跨平台数据诊断、创意洞察驱动内容迭代，到自动下达执行指令并完成效果优化。在部分全球市场的冷启动投放中，GrowthGPT端到端接管投放执行，获客成本较目标降低70%。信号在于：当80%的增长执行工作被Agent系统化接管，</w:t>
      </w:r>
      <w:r>
        <w:t xml:space="preserve">“</w:t>
      </w:r>
      <w:r>
        <w:t xml:space="preserve">增长</w:t>
      </w:r>
      <w:r>
        <w:t xml:space="preserve">”</w:t>
      </w:r>
      <w:r>
        <w:t xml:space="preserve">正从依赖个体经验的”手艺活”升级为可规模化复制的系统能力，这是一个被验证的垂直Agent替代工作流的典型案例。</w:t>
      </w:r>
    </w:p>
    <w:p>
      <w:pPr>
        <w:pStyle w:val="BodyText"/>
      </w:pPr>
      <w:r>
        <w:rPr>
          <w:bCs/>
          <w:b/>
        </w:rPr>
        <w:t xml:space="preserve">【P0】汇智完成近两亿元C1轮融资，聚焦AI体系化酒旅布局</w:t>
      </w:r>
    </w:p>
    <w:p>
      <w:pPr>
        <w:pStyle w:val="BodyText"/>
      </w:pPr>
      <w:r>
        <w:t xml:space="preserve">汇智（广州汇登信息科技有限公司）是一家成立于2019年的中国酒旅供应链智能化服务平台。2026年5月22日披露完成近两亿元C1轮融资，由湖南财信产业基金投资。公司以技术重构酒旅平台运营全链路，构建智能化增长体系，海外供应链布局稳步推进。本轮融资将聚焦AI体系化布局，推进资本化进程。信号在于：垂直行业的”AI体系化布局”正在从概念走向资本化——酒旅作为高频、标准化程度高的服务行业，是AI Agent替代中间环节的理想试验场。</w:t>
      </w:r>
    </w:p>
    <w:bookmarkEnd w:id="20"/>
    <w:bookmarkStart w:id="21" w:name="中优先级"/>
    <w:p>
      <w:pPr>
        <w:pStyle w:val="Heading3"/>
      </w:pPr>
      <w:r>
        <w:t xml:space="preserve">📌 中优先级</w:t>
      </w:r>
    </w:p>
    <w:p>
      <w:pPr>
        <w:pStyle w:val="FirstParagraph"/>
      </w:pPr>
      <w:r>
        <w:rPr>
          <w:bCs/>
          <w:b/>
        </w:rPr>
        <w:t xml:space="preserve">【P1】智元发布新一代运控基座模型BFM-2</w:t>
      </w:r>
    </w:p>
    <w:p>
      <w:pPr>
        <w:pStyle w:val="BodyText"/>
      </w:pPr>
      <w:r>
        <w:t xml:space="preserve">2026年5月23日，智元机器人正式推出二阶段Motion-Between运控基座模型BFM-2。该模型面向具身智能，是继此前具身大模型后的又一重要迭代。智元机器人此前已完成多轮融资，估值约450亿美元。信号在于：具身智能的”大脑”竞赛正在从通用VLA模型向细分运控模型分化——BFM-2专注”运动-操作”的连续控制，这意味着机器人大脑的架构正在从”一个模型管所有”走向”多模型协同”，为垂直场景优化留下空间。</w:t>
      </w:r>
    </w:p>
    <w:bookmarkEnd w:id="21"/>
    <w:bookmarkStart w:id="22" w:name="观察"/>
    <w:p>
      <w:pPr>
        <w:pStyle w:val="Heading3"/>
      </w:pPr>
      <w:r>
        <w:t xml:space="preserve">💡 观察</w:t>
      </w:r>
    </w:p>
    <w:p>
      <w:pPr>
        <w:numPr>
          <w:ilvl w:val="0"/>
          <w:numId w:val="1001"/>
        </w:numPr>
        <w:pStyle w:val="Compact"/>
      </w:pPr>
      <w:r>
        <w:t xml:space="preserve">5月21日智能科技领域共发生5起投融资事件，融资金额约9.39亿元（腾讯新闻）。</w:t>
      </w:r>
    </w:p>
    <w:p>
      <w:pPr>
        <w:numPr>
          <w:ilvl w:val="0"/>
          <w:numId w:val="1001"/>
        </w:numPr>
        <w:pStyle w:val="Compact"/>
      </w:pPr>
      <w:r>
        <w:t xml:space="preserve">前美团外卖事业部技术负责人王栋博士创立元节智能，聚焦餐饮后厨具身智能，获千万级种子轮融资（详见第二节）。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二智能硬件具身智能信号"/>
    <w:p>
      <w:pPr>
        <w:pStyle w:val="Heading2"/>
      </w:pPr>
      <w:r>
        <w:t xml:space="preserve">二、智能硬件/具身智能信号</w:t>
      </w:r>
    </w:p>
    <w:bookmarkStart w:id="24" w:name="高优先级-1"/>
    <w:p>
      <w:pPr>
        <w:pStyle w:val="Heading3"/>
      </w:pPr>
      <w:r>
        <w:t xml:space="preserve">🔥 高优先级</w:t>
      </w:r>
    </w:p>
    <w:p>
      <w:pPr>
        <w:pStyle w:val="FirstParagraph"/>
      </w:pPr>
      <w:r>
        <w:rPr>
          <w:bCs/>
          <w:b/>
        </w:rPr>
        <w:t xml:space="preserve">【P0】元节智能完成千万级种子轮融资，餐饮后厨具身智能新玩家（首次提及）</w:t>
      </w:r>
    </w:p>
    <w:p>
      <w:pPr>
        <w:pStyle w:val="BodyText"/>
      </w:pPr>
      <w:r>
        <w:t xml:space="preserve">元节智能（AtomBite.AI）是一家成立于2026年3月31日的中国具身智能初创公司。2026年5月22日披露完成千万级种子轮融资，由英诺科创基金领投，水木清华校友种子基金及知名投资人个人跟投。创始人王栋博士为前美团外卖事业部技术负责人，联合创始团队也多来自美团等企业。公司聚焦餐饮后厨场景，不研发人形机器人，而是致力于构建具身世界模型，让机器人具备「先想再动」的能力，以解决餐饮后厨的效率问题和用工困境。其技术体系分为具身世界模型、任务编排与调度优化双引擎、自研核心部件与通用硬件本体深度融合三层，落地路径将从外卖打包与接驳切入，逐步扩展到后厨其他设备的操控及全局智能调度。信号在于：具身智能正在从”通用人形机器人”的宏大叙事，快速分化为”垂直场景专用智能体”的务实路线——餐饮后厨是高频、封闭、劳动力短缺的理想场景，</w:t>
      </w:r>
      <w:r>
        <w:t xml:space="preserve">“</w:t>
      </w:r>
      <w:r>
        <w:t xml:space="preserve">不做人形</w:t>
      </w:r>
      <w:r>
        <w:t xml:space="preserve">”</w:t>
      </w:r>
      <w:r>
        <w:t xml:space="preserve">反而可能是更快商业化的正确选择。</w:t>
      </w:r>
    </w:p>
    <w:bookmarkEnd w:id="24"/>
    <w:bookmarkStart w:id="25" w:name="中优先级-1"/>
    <w:p>
      <w:pPr>
        <w:pStyle w:val="Heading3"/>
      </w:pPr>
      <w:r>
        <w:t xml:space="preserve">📌 中优先级</w:t>
      </w:r>
    </w:p>
    <w:p>
      <w:pPr>
        <w:pStyle w:val="FirstParagraph"/>
      </w:pPr>
      <w:r>
        <w:rPr>
          <w:bCs/>
          <w:b/>
        </w:rPr>
        <w:t xml:space="preserve">【P1】华鹰航空完成超5亿元A轮融资，聚焦大吨位低空物流运输</w:t>
      </w:r>
    </w:p>
    <w:p>
      <w:pPr>
        <w:pStyle w:val="BodyText"/>
      </w:pPr>
      <w:r>
        <w:t xml:space="preserve">华鹰航空是一家中国大型无人运输机企业。2026年5月22日披露正式完成超5亿元A轮融资，由20家机构联合投资。资金将用于大型无人运输机量产机型HE-1A批产及新机型研发，加快推进低空物流商业化应用。信号在于：低空经济正从”飞行汽车”的消费叙事，转向”无人货运”的工业叙事——大吨位、长航时的无人运输机是更具确定性的商业化路径。</w:t>
      </w:r>
    </w:p>
    <w:bookmarkEnd w:id="25"/>
    <w:bookmarkStart w:id="26" w:name="观察-1"/>
    <w:p>
      <w:pPr>
        <w:pStyle w:val="Heading3"/>
      </w:pPr>
      <w:r>
        <w:t xml:space="preserve">💡 观察</w:t>
      </w:r>
    </w:p>
    <w:p>
      <w:pPr>
        <w:numPr>
          <w:ilvl w:val="0"/>
          <w:numId w:val="1002"/>
        </w:numPr>
        <w:pStyle w:val="Compact"/>
      </w:pPr>
      <w:r>
        <w:t xml:space="preserve">Figure机器人在直播状态下连续工作161小时，累计处理超过20万个包裹（5月22日数据）。</w:t>
      </w:r>
    </w:p>
    <w:p>
      <w:pPr>
        <w:numPr>
          <w:ilvl w:val="0"/>
          <w:numId w:val="1002"/>
        </w:numPr>
        <w:pStyle w:val="Compact"/>
      </w:pPr>
      <w:r>
        <w:t xml:space="preserve">智元机器人发布BFM-2运控基座模型，持续迭代具身智能”大脑”能力。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三web3-agentic-payment-信号"/>
    <w:p>
      <w:pPr>
        <w:pStyle w:val="Heading2"/>
      </w:pPr>
      <w:r>
        <w:t xml:space="preserve">三、Web3 / Agentic Payment 信号</w:t>
      </w:r>
    </w:p>
    <w:bookmarkStart w:id="28" w:name="高优先级-2"/>
    <w:p>
      <w:pPr>
        <w:pStyle w:val="Heading3"/>
      </w:pPr>
      <w:r>
        <w:t xml:space="preserve">🔥 高优先级</w:t>
      </w:r>
    </w:p>
    <w:p>
      <w:pPr>
        <w:pStyle w:val="FirstParagraph"/>
      </w:pPr>
      <w:r>
        <w:rPr>
          <w:bCs/>
          <w:b/>
        </w:rPr>
        <w:t xml:space="preserve">【P0】SpaceX IPO路演在即：目标6月12日上市，xAI并表，与Tesla共建芯片厂</w:t>
      </w:r>
    </w:p>
    <w:p>
      <w:pPr>
        <w:pStyle w:val="BodyText"/>
      </w:pPr>
      <w:r>
        <w:t xml:space="preserve">2026年5月20-22日，SpaceX向SEC正式提交S-1文件并更新招股书，披露更多关键细节：计划6月4日启动路演，6月11日定价，6月12日在纳斯达克挂牌（代码SPCX），目标估值区间$1.75万亿-$2万亿，有望成为全球史上最大IPO。文件披露：xAI已并表，虽仍处于亏损状态，但AI被定位为未来核心增长引擎；SpaceX将与Tesla共建Terafab先进芯片制造厂；马斯克通过双层股权结构保留85.1%的投票权。Wedbush Securities分析师Dan Ives称此为”股市历史上最大的IPO”。信号在于：SpaceX的IPO定价将首次把”太空基础设施+AI算力+卫星互联网”打包成可交易的公开市场资产——这不仅是一个IPO事件，更是AI基础设施投资逻辑的公开市场验证。</w:t>
      </w:r>
    </w:p>
    <w:p>
      <w:pPr>
        <w:pStyle w:val="BodyText"/>
      </w:pPr>
      <w:r>
        <w:rPr>
          <w:bCs/>
          <w:b/>
        </w:rPr>
        <w:t xml:space="preserve">【P0】Anthropic $300亿+融资预计最快下周完成，估值突破$9,000亿</w:t>
      </w:r>
    </w:p>
    <w:p>
      <w:pPr>
        <w:pStyle w:val="BodyText"/>
      </w:pPr>
      <w:r>
        <w:t xml:space="preserve">据华尔街见闻5月23日报道，Anthropic估值或破9,000亿美元超越OpenAI，最快下周完成超300亿美元融资。红杉资本、Dragoneer、Altimeter Capital及Greenoaks Capital预计将联合领投，各方计划投资规模约为20亿美元；Founders Fund及General Catalyst等现有投资方亦计划参投。此前Anthropic的ARR已达$30B，首次超越OpenAI的$24B。信号在于：Anthropic与OpenAI的”资本军备竞赛”仍在升级——在OpenAI提交IPO招股书后，Anthropic以更大规模的私募融资回应，两者正在争夺”全球最高估值AI公司”的头衔，而这背后是两种商业模式（企业订阅vs.消费者订阅）的较量。</w:t>
      </w:r>
    </w:p>
    <w:bookmarkEnd w:id="28"/>
    <w:bookmarkStart w:id="29" w:name="中优先级-2"/>
    <w:p>
      <w:pPr>
        <w:pStyle w:val="Heading3"/>
      </w:pPr>
      <w:r>
        <w:t xml:space="preserve">📌 中优先级</w:t>
      </w:r>
    </w:p>
    <w:p>
      <w:pPr>
        <w:pStyle w:val="FirstParagraph"/>
      </w:pPr>
      <w:r>
        <w:rPr>
          <w:bCs/>
          <w:b/>
        </w:rPr>
        <w:t xml:space="preserve">【P1】Aptos基金会宣布$5,000万+ Markets and Machines Commitment</w:t>
      </w:r>
    </w:p>
    <w:p>
      <w:pPr>
        <w:pStyle w:val="BodyText"/>
      </w:pPr>
      <w:r>
        <w:t xml:space="preserve">2026年5月7日，Aptos基金会与Aptos Labs宣布$5,000万+战略资本承诺，覆盖链上市场、协议基础设施、研究、AI agents及交易伙伴。代表性成果包括：Decibel在2026年2月主网上线后累计交易量突破$10亿；Shelby支持AI agent工作负载的热存储和授权数据集交换。信号在于：公链基金会正将”AI Agent经济”作为核心生态投资方向——Aptos的$50M+承诺与Solana的Pay.sh、TRON的$1B AI Fund共同构成Layer-1竞争的新战场。</w:t>
      </w:r>
    </w:p>
    <w:bookmarkEnd w:id="29"/>
    <w:bookmarkStart w:id="30" w:name="观察-2"/>
    <w:p>
      <w:pPr>
        <w:pStyle w:val="Heading3"/>
      </w:pPr>
      <w:r>
        <w:t xml:space="preserve">💡 观察</w:t>
      </w:r>
    </w:p>
    <w:p>
      <w:pPr>
        <w:numPr>
          <w:ilvl w:val="0"/>
          <w:numId w:val="1003"/>
        </w:numPr>
        <w:pStyle w:val="Compact"/>
      </w:pPr>
      <w:r>
        <w:t xml:space="preserve">香港金管局首批稳定币牌照仅发放2张（汇丰银行+碇点科技/渣打合资），获批率5%，监管门槛极高。</w:t>
      </w:r>
    </w:p>
    <w:p>
      <w:pPr>
        <w:numPr>
          <w:ilvl w:val="0"/>
          <w:numId w:val="1003"/>
        </w:numPr>
        <w:pStyle w:val="Compact"/>
      </w:pPr>
      <w:r>
        <w:t xml:space="preserve">x402协议已累计处理1.65亿笔交易，活跃代理6.9万个，平均每笔$0.31——机器对机器微支付的规模化证据持续强化。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四众筹平台热门新品"/>
    <w:p>
      <w:pPr>
        <w:pStyle w:val="Heading2"/>
      </w:pPr>
      <w:r>
        <w:t xml:space="preserve">四、众筹平台热门新品</w:t>
      </w:r>
    </w:p>
    <w:p>
      <w:pPr>
        <w:pStyle w:val="BlockText"/>
      </w:pPr>
      <w:r>
        <w:t xml:space="preserve">数据来源：Kickstarter 活跃科技/硬件项目（按近24小时热度与总完成度排序）</w:t>
      </w:r>
      <w:r>
        <w:t xml:space="preserve"> </w:t>
      </w:r>
      <w:r>
        <w:t xml:space="preserve">统计周期：2026-05-23 至 2026-05-24</w:t>
      </w:r>
      <w:r>
        <w:t xml:space="preserve"> </w:t>
      </w:r>
      <w:r>
        <w:t xml:space="preserve">完整跟踪表格：</w:t>
      </w:r>
      <w:r>
        <w:rPr>
          <w:rStyle w:val="VerbatimChar"/>
        </w:rPr>
        <w:t xml:space="preserve">https://github.com/DZH123553/Knowledge-Base/tree/main/众筹跟踪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833"/>
        <w:gridCol w:w="1389"/>
        <w:gridCol w:w="833"/>
        <w:gridCol w:w="1389"/>
        <w:gridCol w:w="833"/>
        <w:gridCol w:w="1806"/>
        <w:gridCol w:w="8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排名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众筹金额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创始人/团队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亮点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Pongbot 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$2.1M+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PongBot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全球首款超轻AI多运动机器人，完成度9,884%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Revopoint POP 4 3D 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$1.8M+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Printing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蓝激光+AI驱动无线3D扫描仪，完成度1,976%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XGIMI TITAN Noir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XGIMI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双智能虹膜系统4K激光投影仪，完成度12,237%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iGarden Swim Jet X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iGarden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后院泳池变身健身系统，无需施工，完成度8,163%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Titan 2 Elite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实体QWERTY键盘+Android 16智能手机，完成度3,935%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xTool WonderPress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DIY Electronics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模块化创意系统：热压+3D升华+真空成型+DTF固化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AOTOS Flux X26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介于e-bike与摩托车之间的新型电动载具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GadgetsUS Modern Boombox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Gadgets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GadgetsUS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270W复古 boombox，支持磁带至流媒体全格式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 + MOPA Laser Engraver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16K精度雕刻，2500+材料，AI软件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MiixKey Security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Gadgets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MiixPro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全球首款带触摸屏的安全密钥，ESP32-P4芯片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五一级市场风向标"/>
    <w:p>
      <w:pPr>
        <w:pStyle w:val="Heading2"/>
      </w:pPr>
      <w:r>
        <w:t xml:space="preserve">五、一级市场风向标</w:t>
      </w:r>
    </w:p>
    <w:p>
      <w:pPr>
        <w:pStyle w:val="FirstParagraph"/>
      </w:pPr>
      <w:r>
        <w:rPr>
          <w:bCs/>
          <w:b/>
        </w:rPr>
        <w:t xml:space="preserve">SpaceX IPO倒计时：史上最大IPO的”定价实验”</w:t>
      </w:r>
    </w:p>
    <w:p>
      <w:pPr>
        <w:pStyle w:val="BodyText"/>
      </w:pPr>
      <w:r>
        <w:t xml:space="preserve">SpaceX计划于6月12日登陆纳斯达克，目标估值$1.75T-$2T，预计募资超$750亿。Hyperliquid上的合成期货合约SPCX-USD近期成交价约$203，隐含估值约$2.4万亿——但这只是加密原生投机者的”民意调查”。Polymarket预测市场数据显示：94%概率6月上市，72%概率收盘市值超$2T，44%概率达$2.4T。Morningstar分析师警告，由于流通股仅3%-4%，上市后可能出现20%-30%的剧烈波动。核心信号：SpaceX的IPO将首次测试公开市场能否消化”万亿美元级”硬科技资产，其定价结果将直接影响所有AI基础设施公司的估值天花板。</w:t>
      </w:r>
    </w:p>
    <w:p>
      <w:pPr>
        <w:pStyle w:val="BodyText"/>
      </w:pPr>
      <w:r>
        <w:rPr>
          <w:bCs/>
          <w:b/>
        </w:rPr>
        <w:t xml:space="preserve">Anthropic ARR首次超越OpenAI：企业级Agent的胜利</w:t>
      </w:r>
    </w:p>
    <w:p>
      <w:pPr>
        <w:pStyle w:val="BodyText"/>
      </w:pPr>
      <w:r>
        <w:t xml:space="preserve">2026年5月初，Anthropic年化经常性收入（ARR）达到$30B，首次超越OpenAI的$24B。分化根源在于客户结构：Anthropic约85%收入来自企业客户，OpenAI约85%来自消费者订阅。这意味着”企业级AI Agent”的付费意愿和留存率，正在超越”消费者聊天机器人”的规模效应。对一级市场投资者而言，这强化了一个判断：垂直企业Agent比通用消费者产品更具财务韧性。</w:t>
      </w:r>
    </w:p>
    <w:p>
      <w:pPr>
        <w:pStyle w:val="BodyText"/>
      </w:pPr>
      <w:r>
        <w:rPr>
          <w:bCs/>
          <w:b/>
        </w:rPr>
        <w:t xml:space="preserve">中国一级市场：AI与具身智能仍是绝对主线</w:t>
      </w:r>
    </w:p>
    <w:p>
      <w:pPr>
        <w:pStyle w:val="BodyText"/>
      </w:pPr>
      <w:r>
        <w:t xml:space="preserve">据财联社创投通及腾讯新闻数据，2026年5月第三周（5月18-24日）中国一级市场智能科技领域持续活跃，5月21日单天即发生5起投融资、总金额约9.39亿元。投资热点从”大模型基础设施”向”AI应用落地”和”具身智能场景化”转移，早期项目（种子/天使/A轮）占比显著提升。</w:t>
      </w:r>
    </w:p>
    <w:p>
      <w:r>
        <w:pict>
          <v:rect style="width:0;height:1.5pt" o:hralign="center" o:hrstd="t" o:hr="t"/>
        </w:pict>
      </w:r>
    </w:p>
    <w:bookmarkEnd w:id="33"/>
    <w:bookmarkStart w:id="34" w:name="六今日值得跟踪的早期项目"/>
    <w:p>
      <w:pPr>
        <w:pStyle w:val="Heading2"/>
      </w:pPr>
      <w:r>
        <w:t xml:space="preserve">六、今日值得跟踪的早期项目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105"/>
        <w:gridCol w:w="1105"/>
        <w:gridCol w:w="1105"/>
        <w:gridCol w:w="1105"/>
        <w:gridCol w:w="1473"/>
        <w:gridCol w:w="20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领域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领投方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背景与功能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元节智能 AtomBite.AI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具身智能/餐饮后厨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种子轮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千万级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英诺科创基金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2026年3月成立，前美团外卖技术负责人创立，餐饮后厨具身世界模型，</w:t>
            </w:r>
            <w:r>
              <w:t xml:space="preserve">“</w:t>
            </w:r>
            <w:r>
              <w:t xml:space="preserve">先想再动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LeapMind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AI原生增长Agent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天使+轮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未披露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CMC资本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2025年4月成立，前TikTok/快手/米哈游增长负责人创立，GrowthGPT端到端接管增长执行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中科沌序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AI/群体智能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种子轮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数千万元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首程控股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2026年成立，AI群体智能全链条技术，首程控股硬科技布局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钧合原子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小型核反应堆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天使轮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数亿元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著名市场化机构（未披露）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2025年6月成立，专注小型模块化反应堆及微型反应堆研发与产业化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神机妙控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侵入式脑机接口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天使轮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数千万元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恩然创投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脑机接口3.0技术研发与临床应用，谷会东博士创立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华鹰航空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低空物流/无人运输机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超5亿元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20家机构联合投资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大型无人运输机企业，HE-1A量产机型批产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极钼芯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二维半导体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天使轮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未披露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远致星火、光谷产投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团队深耕二维材料十余年，率先实现8英寸二维半导体单晶量产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七今日火花"/>
    <w:p>
      <w:pPr>
        <w:pStyle w:val="Heading2"/>
      </w:pPr>
      <w:r>
        <w:t xml:space="preserve">七、今日火花</w:t>
      </w:r>
    </w:p>
    <w:p>
      <w:pPr>
        <w:pStyle w:val="FirstParagraph"/>
      </w:pPr>
      <w:r>
        <w:rPr>
          <w:bCs/>
          <w:b/>
        </w:rPr>
        <w:t xml:space="preserve">具身智能正在经历从”通用人形”到”垂直场景”的关键分化。</w:t>
      </w:r>
    </w:p>
    <w:p>
      <w:pPr>
        <w:pStyle w:val="BodyText"/>
      </w:pPr>
      <w:r>
        <w:t xml:space="preserve">元节智能的选择极具代表性：不做”人形”，只做”餐饮后厨的智能体”。这看似是放弃了最具想象力的叙事，实际上却可能是更快抵达PMF（产品市场契合）的捷径。餐饮后厨具有三大特征——环境封闭（降低感知难度）、任务重复（适合模型迭代）、人力短缺（付费意愿强）。当Figure AI还在验证”通用劳动力”的极限时，元节智能们正在用”专用Agent”收割第一批真实的商业订单。对投资者而言，这意味着具身智能赛道的评估标准正在发生根本转变：从”能走多快”到”能干多细”，从”参数规模”到”场景深度”。</w:t>
      </w:r>
    </w:p>
    <w:p>
      <w:pPr>
        <w:pStyle w:val="BodyText"/>
      </w:pPr>
      <w:r>
        <w:rPr>
          <w:bCs/>
          <w:b/>
        </w:rPr>
        <w:t xml:space="preserve">AI增长Agent正在重新定义”市场营销”的边际成本。</w:t>
      </w:r>
    </w:p>
    <w:p>
      <w:pPr>
        <w:pStyle w:val="BodyText"/>
      </w:pPr>
      <w:r>
        <w:t xml:space="preserve">LeapMind Growth的GrowthGPT将获客成本降低70%，这一数据比任何估值倍数都更具说服力。当增长工作——这个互联网公司最敏感的生命线——被Agent系统性接管时，它不仅是一个工具替代，更是组织形态的变革：增长团队将从”执行者”变为”策略审核者”。更深远的影响在于，如果80%的增长执行可以被Agent标准化，那么创业公司的冷启动门槛将大幅降低——一个3人团队可能拥有过去30人增长团队的投放能力。这是”让人越来越蠢，让Agent越来越聪明”投资哲学的完美映射。</w:t>
      </w:r>
    </w:p>
    <w:p>
      <w:pPr>
        <w:pStyle w:val="BodyText"/>
      </w:pPr>
      <w:r>
        <w:rPr>
          <w:bCs/>
          <w:b/>
        </w:rPr>
        <w:t xml:space="preserve">SpaceX IPO是AI基础设施的”公开市场定价时刻”。</w:t>
      </w:r>
    </w:p>
    <w:p>
      <w:pPr>
        <w:pStyle w:val="BodyText"/>
      </w:pPr>
      <w:r>
        <w:t xml:space="preserve">SpaceX招股书中将$26.5万亿的可触达市场归因于AI相关 initiative，其中包括$22.7万亿的企业AI应用。这一数字虽然带有明显的”画饼”成分，但其象征意义不容忽视：当一家以火箭起家的公司将AI定义为核心增长引擎，并以万亿美元估值寻求上市时，它实际上在为所有AI基础设施公司——算力、能源、数据、机器人——打开估值天花板。未来12个月，SpaceX的股价表现将成为AI硬科技投资的风险偏好晴雨表。</w:t>
      </w:r>
    </w:p>
    <w:p>
      <w:pPr>
        <w:pStyle w:val="BodyText"/>
      </w:pPr>
      <w:r>
        <w:rPr>
          <w:bCs/>
          <w:b/>
        </w:rPr>
        <w:t xml:space="preserve">Agentic Payment的”稳定币拐点”正在从协议层走向应用层。</w:t>
      </w:r>
    </w:p>
    <w:p>
      <w:pPr>
        <w:pStyle w:val="BodyText"/>
      </w:pPr>
      <w:r>
        <w:t xml:space="preserve">x402累计1.65亿笔交易、$50M+累计交易额的数据表明，机器对机器支付的基础设施已经就绪。但真正的投资机会不在协议本身，而在”控制层”——跨协议统一API、Agent钱包基础设施、合规KYC/AML中间件。香港首批仅2张稳定币牌照的严监管信号，反而凸显了合规基础设施的稀缺价值。对早期投资者而言，</w:t>
      </w:r>
      <w:r>
        <w:t xml:space="preserve">“</w:t>
      </w:r>
      <w:r>
        <w:t xml:space="preserve">Agentic Payment中间件</w:t>
      </w:r>
      <w:r>
        <w:t xml:space="preserve">”</w:t>
      </w:r>
      <w:r>
        <w:t xml:space="preserve">可能比”稳定币发行”更具长期壁垒。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本日报由自主调研生成，不构成投资建议。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2026-05-24T01:04:59Z</dcterms:created>
  <dcterms:modified xsi:type="dcterms:W3CDTF">2026-05-24T01:04:59Z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