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vc投资日报-2026年5月31日"/>
    <w:p>
      <w:pPr>
        <w:pStyle w:val="Heading1"/>
      </w:pPr>
      <w:r>
        <w:t xml:space="preserve">VC投资日报 — 2026年5月31日</w:t>
      </w:r>
    </w:p>
    <w:p>
      <w:pPr>
        <w:pStyle w:val="BlockText"/>
      </w:pPr>
      <w:r>
        <w:t xml:space="preserve">本期核心信号：GitHub Copilot正式进化为自主Agent，标志着编码工具从”辅助”向”自治”跃迁；华为系具身大脑创业公司EBKernel获1亿元融资，具身智能”大脑层”独立融资趋势加速；2026世界智能产业博览会在天津开幕，AI大模型与具身智能从展示走向产业落地。</w:t>
      </w:r>
    </w:p>
    <w:p>
      <w:r>
        <w:pict>
          <v:rect style="width:0;height:1.5pt" o:hralign="center" o:hrstd="t" o:hr="t"/>
        </w:pict>
      </w:r>
    </w:p>
    <w:bookmarkStart w:id="23" w:name="一ai应用层信号"/>
    <w:p>
      <w:pPr>
        <w:pStyle w:val="Heading2"/>
      </w:pPr>
      <w:r>
        <w:t xml:space="preserve">一、AI应用层信号</w:t>
      </w:r>
    </w:p>
    <w:bookmarkStart w:id="20" w:name="高优先级"/>
    <w:p>
      <w:pPr>
        <w:pStyle w:val="Heading3"/>
      </w:pPr>
      <w:r>
        <w:t xml:space="preserve">🔥 高优先级</w:t>
      </w:r>
    </w:p>
    <w:p>
      <w:pPr>
        <w:pStyle w:val="FirstParagraph"/>
      </w:pPr>
      <w:r>
        <w:rPr>
          <w:bCs/>
          <w:b/>
        </w:rPr>
        <w:t xml:space="preserve">【P0】GitHub Copilot升级为自主Agent，从代码建议转向”自主完成任务”（新进展）</w:t>
      </w:r>
    </w:p>
    <w:p>
      <w:pPr>
        <w:pStyle w:val="BodyText"/>
      </w:pPr>
      <w:r>
        <w:t xml:space="preserve">GitHub于2026年5月30日宣布Copilot重大升级，从传统的代码补全/建议工具演进为能够”自主完成任务”的Agent。新版本的Copilot Agent可以接收自然语言指令，自主规划、编写、调试和部署代码，无需开发者逐步指导。信号在于：当Cognition以$26B估值证明”编码Agent”赛道价值时，GitHub（微软）正通过Copilot Agent化来捍卫其在开发者工具领域的垄断地位——这意味着独立编码Agent公司（如Cognition、Cursor、Windsurf）不仅要面对彼此竞争，还要直接与GitHub的免费/低价生态对抗。</w:t>
      </w:r>
    </w:p>
    <w:p>
      <w:pPr>
        <w:pStyle w:val="BodyText"/>
      </w:pPr>
      <w:r>
        <w:rPr>
          <w:bCs/>
          <w:b/>
        </w:rPr>
        <w:t xml:space="preserve">【P0】Parallel获$2.3亿融资，估值$20亿，为AI Agent构建网络搜索基础设施（首次提及）</w:t>
      </w:r>
    </w:p>
    <w:p>
      <w:pPr>
        <w:pStyle w:val="BodyText"/>
      </w:pPr>
      <w:r>
        <w:t xml:space="preserve">AI Agent基础设施公司Parallel于2026年5月初宣布累计融资达$2.3亿，估值约$20亿。Parallel专注于为AI Agent提供实时、结构化的网络搜索与信息检索基础设施，解决当前大模型”知识截止”和”幻觉”问题。信号在于：当AI Agent开始自主执行复杂任务时，</w:t>
      </w:r>
      <w:r>
        <w:t xml:space="preserve">“</w:t>
      </w:r>
      <w:r>
        <w:t xml:space="preserve">信息获取层</w:t>
      </w:r>
      <w:r>
        <w:t xml:space="preserve">”</w:t>
      </w:r>
      <w:r>
        <w:t xml:space="preserve">成为关键瓶颈——Parallel试图成为Agent时代的”搜索引擎”，而非人类时代的Google。</w:t>
      </w:r>
    </w:p>
    <w:bookmarkEnd w:id="20"/>
    <w:bookmarkStart w:id="21" w:name="中优先级"/>
    <w:p>
      <w:pPr>
        <w:pStyle w:val="Heading3"/>
      </w:pPr>
      <w:r>
        <w:t xml:space="preserve">📌 中优先级</w:t>
      </w:r>
    </w:p>
    <w:p>
      <w:pPr>
        <w:pStyle w:val="FirstParagraph"/>
      </w:pPr>
      <w:r>
        <w:rPr>
          <w:bCs/>
          <w:b/>
        </w:rPr>
        <w:t xml:space="preserve">【P1】Scout AI获$1亿Series A，自主军事系统进入采购驱动阶段（首次提及）</w:t>
      </w:r>
    </w:p>
    <w:p>
      <w:pPr>
        <w:pStyle w:val="BodyText"/>
      </w:pPr>
      <w:r>
        <w:t xml:space="preserve">国防AI公司Scout AI于2026年5月初完成$1亿Series A融资。Scout AI的Fury系统专注于自主无人机队软件和任务系统，已与美军方签订多项合同。信号在于：与消费级AI的”概念验证”阶段不同，国防AI正进入”采购驱动”的成熟期——有合同、有部署、有实战需求，这使其成为AI应用中现金流最确定的垂直之一。</w:t>
      </w:r>
    </w:p>
    <w:p>
      <w:pPr>
        <w:pStyle w:val="BodyText"/>
      </w:pPr>
      <w:r>
        <w:rPr>
          <w:bCs/>
          <w:b/>
        </w:rPr>
        <w:t xml:space="preserve">【P1】Performativ获€550万，AI原生财富管理系统（首次提及）</w:t>
      </w:r>
    </w:p>
    <w:p>
      <w:pPr>
        <w:pStyle w:val="BodyText"/>
      </w:pPr>
      <w:r>
        <w:t xml:space="preserve">欧洲财富科技初创公司Performativ于2026年5月完成€550万融资，开发面向财富管理行业的AI原生操作系统。信号在于：垂直AI在合规密集型行业（金融、法律、医疗）的渗透正在从”工具层”向”操作系统层”升级——不是替代某个环节，而是重构整个工作流。</w:t>
      </w:r>
    </w:p>
    <w:bookmarkEnd w:id="21"/>
    <w:bookmarkStart w:id="22" w:name="观察"/>
    <w:p>
      <w:pPr>
        <w:pStyle w:val="Heading3"/>
      </w:pPr>
      <w:r>
        <w:t xml:space="preserve">💡 观察</w:t>
      </w:r>
    </w:p>
    <w:p>
      <w:pPr>
        <w:numPr>
          <w:ilvl w:val="0"/>
          <w:numId w:val="1001"/>
        </w:numPr>
        <w:pStyle w:val="Compact"/>
      </w:pPr>
      <w:r>
        <w:t xml:space="preserve">OpenAI在生物防御领域设立”受信任访问”框架，标志着高风险AI能力进入治理驱动的新阶段。</w:t>
      </w:r>
    </w:p>
    <w:p>
      <w:pPr>
        <w:numPr>
          <w:ilvl w:val="0"/>
          <w:numId w:val="1001"/>
        </w:numPr>
        <w:pStyle w:val="Compact"/>
      </w:pPr>
      <w:r>
        <w:t xml:space="preserve">2026年Q1全球AI初创融资达$188亿，其中$18.8亿流向2025年以来成立的AI初创，投资者仍愿意为技术稀缺性和战略控制权支付极端溢价。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二智能硬件具身智能信号"/>
    <w:p>
      <w:pPr>
        <w:pStyle w:val="Heading2"/>
      </w:pPr>
      <w:r>
        <w:t xml:space="preserve">二、智能硬件/具身智能信号</w:t>
      </w:r>
    </w:p>
    <w:bookmarkStart w:id="24" w:name="高优先级-1"/>
    <w:p>
      <w:pPr>
        <w:pStyle w:val="Heading3"/>
      </w:pPr>
      <w:r>
        <w:t xml:space="preserve">🔥 高优先级</w:t>
      </w:r>
    </w:p>
    <w:p>
      <w:pPr>
        <w:pStyle w:val="FirstParagraph"/>
      </w:pPr>
      <w:r>
        <w:rPr>
          <w:bCs/>
          <w:b/>
        </w:rPr>
        <w:t xml:space="preserve">【P0】EBKernel获1亿元融资，华为”具身大脑”创始人独立创业（首次提及）</w:t>
      </w:r>
    </w:p>
    <w:p>
      <w:pPr>
        <w:pStyle w:val="BodyText"/>
      </w:pPr>
      <w:r>
        <w:t xml:space="preserve">具身智能大脑公司EBKernel于2026年5月25日宣布完成1亿元人民币新一轮融资，由顶级产业投资方领投。EBKernel由前华为云AI算法创新实验室主任朱森华创立，团队来自清华、北大、复旦、中科院及华为、联想、旷视等机构。公司采用神经形态智能（neuromorphic intelligence）作为底层范式，构建物理世界的”认知世界模型”（Cognitive World Model），目标让机器人能够自主设定目标、执行任务并从真实反馈中持续学习。信号在于：具身智能赛道正出现”大脑层”的独立融资趋势——当大多数资本涌向”整机+本体”时，EBKernel证明”机器人大脑”作为独立技术层同样具备高估值潜力，这与用户”brain over body”的投资偏好高度一致。</w:t>
      </w:r>
    </w:p>
    <w:p>
      <w:pPr>
        <w:pStyle w:val="BodyText"/>
      </w:pPr>
      <w:r>
        <w:rPr>
          <w:bCs/>
          <w:b/>
        </w:rPr>
        <w:t xml:space="preserve">【P0】2026世界智能产业博览会在天津开幕，AI大模型与具身智能全面产业化（新进展）</w:t>
      </w:r>
    </w:p>
    <w:p>
      <w:pPr>
        <w:pStyle w:val="BodyText"/>
      </w:pPr>
      <w:r>
        <w:t xml:space="preserve">2026世界智能产业博览会于5月28日至31日在天津举行，展览总面积13万平方米，创历届之最。740多家企业与机构参展，集中展示了40余款大模型及人形机器人、智能座舱、AI鉴别、智能物流等百余种落地应用。信号在于：AI展览的主题已从”模型参数竞赛”转向”产业应用落地”——中科曙光、科大讯飞、宇树科技等公司展示的不是技术Demo，而是可量产的商业方案。</w:t>
      </w:r>
    </w:p>
    <w:bookmarkEnd w:id="24"/>
    <w:bookmarkStart w:id="25" w:name="中优先级-1"/>
    <w:p>
      <w:pPr>
        <w:pStyle w:val="Heading3"/>
      </w:pPr>
      <w:r>
        <w:t xml:space="preserve">📌 中优先级</w:t>
      </w:r>
    </w:p>
    <w:p>
      <w:pPr>
        <w:pStyle w:val="FirstParagraph"/>
      </w:pPr>
      <w:r>
        <w:rPr>
          <w:bCs/>
          <w:b/>
        </w:rPr>
        <w:t xml:space="preserve">【P1】自变量机器人首批入驻真实家庭，全球首次机器人C端复杂环境大规模落地（新进展）</w:t>
      </w:r>
    </w:p>
    <w:p>
      <w:pPr>
        <w:pStyle w:val="BodyText"/>
      </w:pPr>
      <w:r>
        <w:t xml:space="preserve">自变量机器人（Independent Variable）于2026年5月25日宣布，搭载新一代具身智能基础模型WALL-B的机器人正式入驻首批真实家庭。自变量此前已完成近20亿元B轮融资，由小米战投与红杉中国联合领投，是国内唯一同时获得字节跳动、美团、阿里巴巴、小米四家互联网大厂投资的具身智能企业。信号在于：与行业主流”先工业、后家庭”路线不同，自变量选择直接攻克最复杂的家庭场景——如果机器人能在真实家庭环境中完成收纳、清洁等长链任务，将证明具身智能的通用性瓶颈正在被突破。</w:t>
      </w:r>
    </w:p>
    <w:p>
      <w:pPr>
        <w:pStyle w:val="BodyText"/>
      </w:pPr>
      <w:r>
        <w:rPr>
          <w:bCs/>
          <w:b/>
        </w:rPr>
        <w:t xml:space="preserve">【P1】特斯拉Optimus Gen-3量产倒计时：7-8月投产，目标年产100万台（产业信号）</w:t>
      </w:r>
    </w:p>
    <w:p>
      <w:pPr>
        <w:pStyle w:val="BodyText"/>
      </w:pPr>
      <w:r>
        <w:t xml:space="preserve">特斯拉CEO马斯克于2026年5月初确认，Optimus第三代人形机器人将于2026年7月下旬或8月在弗里蒙特工厂投产。特斯拉已将Model S/X产线改造为机器人专属产线，设计年产能达100万台。Optimus Gen-3身高173cm、自重57kg、单台成本约$4.9万。信号在于：$4.9万的成本价意味着人形机器人正从”百万美元实验室产品”向”五万美元工业设备”快速逼近，这与智能手机（2007年$499→2012年$199）和新能源汽车（2015年$10万→2020年$3.5万）的历史降价曲线高度相似。</w:t>
      </w:r>
    </w:p>
    <w:bookmarkEnd w:id="25"/>
    <w:bookmarkStart w:id="26" w:name="观察-1"/>
    <w:p>
      <w:pPr>
        <w:pStyle w:val="Heading3"/>
      </w:pPr>
      <w:r>
        <w:t xml:space="preserve">💡 观察</w:t>
      </w:r>
    </w:p>
    <w:p>
      <w:pPr>
        <w:numPr>
          <w:ilvl w:val="0"/>
          <w:numId w:val="1002"/>
        </w:numPr>
        <w:pStyle w:val="Compact"/>
      </w:pPr>
      <w:r>
        <w:t xml:space="preserve">截至2026年5月11日，国内具身智能领域投资总额已超345亿元，超越2025年全年。单笔10亿元及以上融资超过10起，资金正从整机向灵巧手、触觉传感器等核心部件流动。</w:t>
      </w:r>
    </w:p>
    <w:p>
      <w:pPr>
        <w:numPr>
          <w:ilvl w:val="0"/>
          <w:numId w:val="1002"/>
        </w:numPr>
        <w:pStyle w:val="Compact"/>
      </w:pPr>
      <w:r>
        <w:t xml:space="preserve">Meta收购通用人形机器人基础模型开发商ARI，相关团队并入Meta超级智能实验室，标志着Meta从AI软件巨头正式切入具身智能硬件赛道。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三web3-agentic-payment信号"/>
    <w:p>
      <w:pPr>
        <w:pStyle w:val="Heading2"/>
      </w:pPr>
      <w:r>
        <w:t xml:space="preserve">三、Web3 / Agentic Payment信号</w:t>
      </w:r>
    </w:p>
    <w:bookmarkStart w:id="28" w:name="高优先级-2"/>
    <w:p>
      <w:pPr>
        <w:pStyle w:val="Heading3"/>
      </w:pPr>
      <w:r>
        <w:t xml:space="preserve">🔥 高优先级</w:t>
      </w:r>
    </w:p>
    <w:p>
      <w:pPr>
        <w:pStyle w:val="FirstParagraph"/>
      </w:pPr>
      <w:r>
        <w:rPr>
          <w:bCs/>
          <w:b/>
        </w:rPr>
        <w:t xml:space="preserve">【P0】Agent支付协议”三国杀”格局成形：x402、AP2、MPP各据一方（新进展）</w:t>
      </w:r>
    </w:p>
    <w:p>
      <w:pPr>
        <w:pStyle w:val="BodyText"/>
      </w:pPr>
      <w:r>
        <w:t xml:space="preserve">截至2026年5月下旬，三大Agent支付协议已形成明确分工格局：Coinbase/Cloudflare的x402协议目前处理约7541万笔月交易，$2424万月交易量，占据先发优势；Google主导的AP2协议于2025年9月发布，获Amex、PayPal、Mastercard等60余家机构支持，聚焦”预授权消费指令”的合规框架；Stripe/Tempo联合推出的MPP（Machine Payment Protocol）于2026年3月发布，新增session-based计费模式，支持按token实时计费。信号在于：Agent支付不再是”单一协议赌局”，而是分化出”按需支付（x402）</w:t>
      </w:r>
      <w:r>
        <w:t xml:space="preserve">“</w:t>
      </w:r>
      <w:r>
        <w:t xml:space="preserve">、</w:t>
      </w:r>
      <w:r>
        <w:t xml:space="preserve">”</w:t>
      </w:r>
      <w:r>
        <w:t xml:space="preserve">预授权支付（AP2）</w:t>
      </w:r>
      <w:r>
        <w:t xml:space="preserve">“</w:t>
      </w:r>
      <w:r>
        <w:t xml:space="preserve">、</w:t>
      </w:r>
      <w:r>
        <w:t xml:space="preserve">”</w:t>
      </w:r>
      <w:r>
        <w:t xml:space="preserve">流式支付（MPP）“三条路径——这与信用卡时代的Visa（通用）、Amex（高端）、PayPal（在线）的分化逻辑相似。</w:t>
      </w:r>
    </w:p>
    <w:bookmarkEnd w:id="28"/>
    <w:bookmarkStart w:id="29" w:name="中优先级-2"/>
    <w:p>
      <w:pPr>
        <w:pStyle w:val="Heading3"/>
      </w:pPr>
      <w:r>
        <w:t xml:space="preserve">📌 中优先级</w:t>
      </w:r>
    </w:p>
    <w:p>
      <w:pPr>
        <w:pStyle w:val="FirstParagraph"/>
      </w:pPr>
      <w:r>
        <w:rPr>
          <w:bCs/>
          <w:b/>
        </w:rPr>
        <w:t xml:space="preserve">【P1】Better Money获a16z crypto $1000万种子轮，稳定币清算平台受顶级基金青睐（首次提及）</w:t>
      </w:r>
    </w:p>
    <w:p>
      <w:pPr>
        <w:pStyle w:val="BodyText"/>
      </w:pPr>
      <w:r>
        <w:t xml:space="preserve">稳定币清算平台Better Money于2026年4月初完成$1000万种子轮融资，由a16z crypto领投，BoxGroup、Sunflower Capital及Circle联合创始人Sean Neville等参投。Better Money计划为合规稳定币（USDC、USAT等）提供中心化交易所和流动性服务，通过与Paxos、Stripe Bridge、MoonPay等建立直接申购赎回账户，降低机构在公开市场买卖稳定币的成本。信号在于：当SoFi等传统银行开始发行自有品牌稳定币时，</w:t>
      </w:r>
      <w:r>
        <w:t xml:space="preserve">“</w:t>
      </w:r>
      <w:r>
        <w:t xml:space="preserve">稳定币清算层</w:t>
      </w:r>
      <w:r>
        <w:t xml:space="preserve">”</w:t>
      </w:r>
      <w:r>
        <w:t xml:space="preserve">成为连接银行系与加密原生的关键基础设施——Better Money试图成为稳定币领域的”暗池”或”银行间市场”。</w:t>
      </w:r>
    </w:p>
    <w:p>
      <w:pPr>
        <w:pStyle w:val="BodyText"/>
      </w:pPr>
      <w:r>
        <w:rPr>
          <w:bCs/>
          <w:b/>
        </w:rPr>
        <w:t xml:space="preserve">【P1】Latitude获$800万融资，前Stripe/Coinbase员工瞄准稳定币跨境支付（首次提及）</w:t>
      </w:r>
    </w:p>
    <w:p>
      <w:pPr>
        <w:pStyle w:val="BodyText"/>
      </w:pPr>
      <w:r>
        <w:t xml:space="preserve">跨境支付初创公司Latitude于2026年4月初完成$800万融资，由NEA领投，Lightspeed Faction、Coinbase、Paxos及Solana Foundation参投。Latitude核心产品”Global Payouts”面向美国企业，支持从USD到50多个国家个人账户的支付，自动完成USD→稳定币→本地法币的转换。信号在于：Latitude团队来自Stripe和Coinbase，深刻理解传统支付与加密支付的断层——其竞争者不是加密原生项目，而是SWIFT和传统银行外汇体系。</w:t>
      </w:r>
    </w:p>
    <w:bookmarkEnd w:id="29"/>
    <w:bookmarkStart w:id="30" w:name="观察-2"/>
    <w:p>
      <w:pPr>
        <w:pStyle w:val="Heading3"/>
      </w:pPr>
      <w:r>
        <w:t xml:space="preserve">💡 观察</w:t>
      </w:r>
    </w:p>
    <w:p>
      <w:pPr>
        <w:numPr>
          <w:ilvl w:val="0"/>
          <w:numId w:val="1003"/>
        </w:numPr>
        <w:pStyle w:val="Compact"/>
      </w:pPr>
      <w:r>
        <w:t xml:space="preserve">OpenFX获$9400万融资，由Accel、Lightspeed Faction、Pantera等领投，估值约$5亿。OpenFX使用稳定币桥接银行系统与区块链基础设施，为大型跨境交易提供更快、更低成本的结算，年化支付处理量从约$40亿增至约$450亿。</w:t>
      </w:r>
    </w:p>
    <w:p>
      <w:pPr>
        <w:numPr>
          <w:ilvl w:val="0"/>
          <w:numId w:val="1003"/>
        </w:numPr>
        <w:pStyle w:val="Compact"/>
      </w:pPr>
      <w:r>
        <w:t xml:space="preserve">香港《稳定币条例草案》已获立法会通过，京东币链科技、蚂蚁数科等正在申请香港稳定币牌照。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四众筹平台热门新品"/>
    <w:p>
      <w:pPr>
        <w:pStyle w:val="Heading2"/>
      </w:pPr>
      <w:r>
        <w:t xml:space="preserve">四、众筹平台热门新品</w:t>
      </w:r>
    </w:p>
    <w:p>
      <w:pPr>
        <w:pStyle w:val="BlockText"/>
      </w:pPr>
      <w:r>
        <w:t xml:space="preserve">数据来源：Kickstarter Q2 2026活跃科技/硬件项目（按近30天热度与总完成度排序）</w:t>
      </w:r>
      <w:r>
        <w:t xml:space="preserve"> </w:t>
      </w:r>
      <w:r>
        <w:t xml:space="preserve">统计周期：2026年4-5月</w:t>
      </w:r>
      <w:r>
        <w:t xml:space="preserve"> </w:t>
      </w:r>
      <w:r>
        <w:t xml:space="preserve">完整跟踪表格：</w:t>
      </w:r>
      <w:r>
        <w:rPr>
          <w:rStyle w:val="VerbatimChar"/>
        </w:rPr>
        <w:t xml:space="preserve">https://github.com/DZH123553/Knowledge-Base/tree/main/众筹跟踪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33"/>
        <w:gridCol w:w="1389"/>
        <w:gridCol w:w="833"/>
        <w:gridCol w:w="1389"/>
        <w:gridCol w:w="833"/>
        <w:gridCol w:w="1806"/>
        <w:gridCol w:w="8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众筹金额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创始人/团队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XGIMI TITAN Noir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$12.2M+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XGIMI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双智能虹膜系统4K激光投影仪，完成度15,158%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Lumia 2 Smart Earrings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耳环形态健康追踪器，将健康监测从手表/戒指延伸至更隐蔽的佩戴形式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Sleepal AI 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非接触式床边睡眠系统，将台灯转变为传感和作息改善设备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Lumos Sonorus Mesh Intercom Helmet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骑行头盔集成对讲、开放耳音频、灯光、刹车可见性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xLean TR1 Dual-Form Floor Washing 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可在自主和手持模式之间切换的洗地机器人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Cubie Desktop AI 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桌面AI伴侣机器人，测试人格化、本地行为和AI交互能否成为重复使用的桌面产品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LincStation E1 4-Bay 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紧凑型4盘位NAS，将创作者存储、私人备份、4K媒体和本地数据所有权变为 approachable 的硬件方案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Kynooe Modular Personal AI Robot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模块化个人AI机器臂，围绕无代码控制、AI交互和可扩展配件生态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Hacknect Wireless Hacking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ESP32-S3驱动的USB线缆，支持Wi-Fi控制、HID自动化和payload执行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Pongbot Aura AI Multi-Sport 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Sports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轻量化网球/匹克球/板球发球机，使用自适应硬件和app驱动训练</w:t>
            </w:r>
          </w:p>
        </w:tc>
      </w:tr>
    </w:tbl>
    <w:p>
      <w:pPr>
        <w:pStyle w:val="BodyText"/>
      </w:pPr>
      <w:r>
        <w:t xml:space="preserve">RULES:</w:t>
      </w:r>
      <w:r>
        <w:t xml:space="preserve"> </w:t>
      </w:r>
      <w:r>
        <w:t xml:space="preserve">- 优先展示 Technology / Design / Hardware / Gadgets 类别</w:t>
      </w:r>
      <w:r>
        <w:t xml:space="preserve"> </w:t>
      </w:r>
      <w:r>
        <w:t xml:space="preserve">- 创始人 LinkedIn/X 链接如有则附，无则留空</w:t>
      </w:r>
      <w:r>
        <w:t xml:space="preserve"> </w:t>
      </w:r>
      <w:r>
        <w:t xml:space="preserve">- 一句话描述产品亮点（解决了什么问题）</w:t>
      </w:r>
    </w:p>
    <w:p>
      <w:r>
        <w:pict>
          <v:rect style="width:0;height:1.5pt" o:hralign="center" o:hrstd="t" o:hr="t"/>
        </w:pict>
      </w:r>
    </w:p>
    <w:bookmarkEnd w:id="32"/>
    <w:bookmarkStart w:id="33" w:name="五一级市场风向标"/>
    <w:p>
      <w:pPr>
        <w:pStyle w:val="Heading2"/>
      </w:pPr>
      <w:r>
        <w:t xml:space="preserve">五、一级市场风向标</w:t>
      </w:r>
    </w:p>
    <w:p>
      <w:pPr>
        <w:pStyle w:val="FirstParagraph"/>
      </w:pPr>
      <w:r>
        <w:rPr>
          <w:bCs/>
          <w:b/>
        </w:rPr>
        <w:t xml:space="preserve">AI应用层：Agent化成为2026年核心叙事</w:t>
      </w:r>
    </w:p>
    <w:p>
      <w:pPr>
        <w:pStyle w:val="BodyText"/>
      </w:pPr>
      <w:r>
        <w:t xml:space="preserve">GitHub Copilot的Agent升级与Cognition的$26B估值共同指向一个结论：编码工具正从”辅助人类”向”替代人类执行”快速演进。对早期投资者而言，这意味着需要重新评估”开发者工具”赛道的估值框架——当AI Agent能够自主完成端到端任务时，</w:t>
      </w:r>
      <w:r>
        <w:t xml:space="preserve">“</w:t>
      </w:r>
      <w:r>
        <w:t xml:space="preserve">工具</w:t>
      </w:r>
      <w:r>
        <w:t xml:space="preserve">”</w:t>
      </w:r>
      <w:r>
        <w:t xml:space="preserve">的定价逻辑将从”提升效率”转向”节省人力成本”。Parallel的$20亿估值则证明，Agent基础设施层（搜索、路由、记忆）正在成为新的高价值节点。</w:t>
      </w:r>
    </w:p>
    <w:p>
      <w:pPr>
        <w:pStyle w:val="BodyText"/>
      </w:pPr>
      <w:r>
        <w:rPr>
          <w:bCs/>
          <w:b/>
        </w:rPr>
        <w:t xml:space="preserve">具身智能：从”大脑+身体”融合走向”大脑层”独立融资</w:t>
      </w:r>
    </w:p>
    <w:p>
      <w:pPr>
        <w:pStyle w:val="BodyText"/>
      </w:pPr>
      <w:r>
        <w:t xml:space="preserve">EBKernel的1亿元融资是自变量、Spirit AI、地瓜机器人等”全栈”公司之外，罕见的”纯大脑”公司获得机构认可。这与2025-2026年具身智能赛道的投资逻辑形成微妙分歧：当多数基金追逐”能造出人形”的整机公司时，少数基金开始押注”能让任何硬件变聪明”的通用大脑。用户”brain over body”的投资偏好正在获得市场验证。</w:t>
      </w:r>
    </w:p>
    <w:p>
      <w:pPr>
        <w:pStyle w:val="BodyText"/>
      </w:pPr>
      <w:r>
        <w:rPr>
          <w:bCs/>
          <w:b/>
        </w:rPr>
        <w:t xml:space="preserve">Web3：Agent支付从”协议层赌局”进入”使用层验证”</w:t>
      </w:r>
    </w:p>
    <w:p>
      <w:pPr>
        <w:pStyle w:val="BodyText"/>
      </w:pPr>
      <w:r>
        <w:t xml:space="preserve">x402的7541万笔月交易量、AP2的60+机构联盟、MPP的session-based计费创新，共同证明Agent支付不再是概念验证。对早期投资者而言，关键问题已从”哪个协议会赢”转变为”哪些应用场景会产生真实的Agent支付需求”——API调用、数据购买、算力租赁可能是第一批规模化场景。</w:t>
      </w:r>
    </w:p>
    <w:p>
      <w:r>
        <w:pict>
          <v:rect style="width:0;height:1.5pt" o:hralign="center" o:hrstd="t" o:hr="t"/>
        </w:pict>
      </w:r>
    </w:p>
    <w:bookmarkEnd w:id="33"/>
    <w:bookmarkStart w:id="34" w:name="六今日值得跟踪的早期项目"/>
    <w:p>
      <w:pPr>
        <w:pStyle w:val="Heading2"/>
      </w:pPr>
      <w:r>
        <w:t xml:space="preserve">六、今日值得跟踪的早期项目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1105"/>
        <w:gridCol w:w="1105"/>
        <w:gridCol w:w="1105"/>
        <w:gridCol w:w="1473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背景与功能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具身智能大脑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顶级产业投资方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华为系具身大脑团队，采用神经形态智能构建认知世界模型，让机器人自主设定目标并持续学习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Better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稳定币清算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种子轮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a16z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前a16z crypto投资人创立，为合规稳定币提供机构级清算和流动性服务，降低机构买卖稳定币的公开市场成本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稳定币跨境支付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前Stripe和Coinbase员工创立，支持USD到50+国家个人账户的稳定币跨境支付，自动完成法币-稳定币-法币转换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Marloo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垂直AI（财富管理）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种子轮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未披露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为财务顾问提供AI驱动的工作流自动化，聚焦顾问-客户关系管理和文档处理</w:t>
            </w:r>
          </w:p>
        </w:tc>
      </w:tr>
    </w:tbl>
    <w:p>
      <w:pPr>
        <w:pStyle w:val="BodyText"/>
      </w:pPr>
      <w:r>
        <w:t xml:space="preserve">RULES for this table:</w:t>
      </w:r>
      <w:r>
        <w:t xml:space="preserve"> </w:t>
      </w:r>
      <w:r>
        <w:t xml:space="preserve">- Only seed, angel, pre-A, and A rounds.</w:t>
      </w:r>
      <w:r>
        <w:t xml:space="preserve"> </w:t>
      </w:r>
      <w:r>
        <w:t xml:space="preserve">- Always list lead investor(s). If undisclosed, write</w:t>
      </w:r>
      <w:r>
        <w:t xml:space="preserve"> </w:t>
      </w:r>
      <w:r>
        <w:t xml:space="preserve">“</w:t>
      </w:r>
      <w:r>
        <w:t xml:space="preserve">未披露</w:t>
      </w:r>
      <w:r>
        <w:t xml:space="preserve">”</w:t>
      </w:r>
      <w:r>
        <w:t xml:space="preserve">.</w:t>
      </w:r>
      <w:r>
        <w:t xml:space="preserve"> </w:t>
      </w:r>
      <w:r>
        <w:t xml:space="preserve">- Add 1-2 sentence background for first-time mentions.</w:t>
      </w:r>
    </w:p>
    <w:p>
      <w:r>
        <w:pict>
          <v:rect style="width:0;height:1.5pt" o:hralign="center" o:hrstd="t" o:hr="t"/>
        </w:pict>
      </w:r>
    </w:p>
    <w:bookmarkEnd w:id="34"/>
    <w:bookmarkStart w:id="35" w:name="七今日火花"/>
    <w:p>
      <w:pPr>
        <w:pStyle w:val="Heading2"/>
      </w:pPr>
      <w:r>
        <w:t xml:space="preserve">七、今日火花</w:t>
      </w:r>
    </w:p>
    <w:p>
      <w:pPr>
        <w:pStyle w:val="FirstParagraph"/>
      </w:pPr>
      <w:r>
        <w:rPr>
          <w:bCs/>
          <w:b/>
        </w:rPr>
        <w:t xml:space="preserve">GitHub Copilot的Agent化揭示了”平台防御”与”初创颠覆”的经典博弈。</w:t>
      </w:r>
    </w:p>
    <w:p>
      <w:pPr>
        <w:pStyle w:val="BodyText"/>
      </w:pPr>
      <w:r>
        <w:t xml:space="preserve">当Cognition以$26B估值证明”自主编码Agent”是独立赛道时，GitHub（微软）迅速将Copilot升级为自主Agent——这不是产品迭代，而是战略防御。历史规律表明，当颠覆性技术出现在平台巨头的核心领地时，巨头会利用分发优势、数据优势和生态锁定来压制初创。对早期投资者而言，这意味着在编码Agent赛道，需要区分”能被GitHub快速复制的功能”（如单文件代码生成）和”需要独立技术栈的架构”（如跨代码库自主规划、多Agent协作、企业级安全审计）。Cognition的$26B估值假设其能建立独立于GitHub的开发者工作流，但这一假设的验证周期可能比预期更长。</w:t>
      </w:r>
    </w:p>
    <w:p>
      <w:pPr>
        <w:pStyle w:val="BodyText"/>
      </w:pPr>
      <w:r>
        <w:rPr>
          <w:bCs/>
          <w:b/>
        </w:rPr>
        <w:t xml:space="preserve">EBKernel的融资证明”具身大脑”正在从整机公司的内部部门演变为独立创业方向。</w:t>
      </w:r>
    </w:p>
    <w:p>
      <w:pPr>
        <w:pStyle w:val="BodyText"/>
      </w:pPr>
      <w:r>
        <w:t xml:space="preserve">2025-2026年，绝大多数具身智能融资流向”整机+大脑”一体化的公司（自变量、Spirit AI、银河通用等）。EBKernel作为纯”大脑”公司获得1亿元融资，表明市场开始认可”通用大脑”的跨平台价值——同一个认知世界模型可以驱动人形机器人、四足机器人、机械臂甚至自动驾驶车辆。这与智能手机时代”操作系统独立于硬件”的分工逻辑相似：Android不造手机，但赋能所有手机。如果具身智能终将走向”一脑多身”的架构，那么早期投资”大脑层”可能比投资”本体层”更具杠杆效应。</w:t>
      </w:r>
    </w:p>
    <w:p>
      <w:pPr>
        <w:pStyle w:val="BodyText"/>
      </w:pPr>
      <w:r>
        <w:rPr>
          <w:bCs/>
          <w:b/>
        </w:rPr>
        <w:t xml:space="preserve">Agent支付协议的”三国杀”格局揭示了一个被低估的投资维度：合规即壁垒。</w:t>
      </w:r>
    </w:p>
    <w:p>
      <w:pPr>
        <w:pStyle w:val="BodyText"/>
      </w:pPr>
      <w:r>
        <w:t xml:space="preserve">x402（Coinbase）的优势在于加密原生和先发交易量；MPP（Stripe）的优势在于session-based计费和企业集成；AP2（Google）的优势在于60+传统金融机构的合规背书。三者看似竞争，实则可能分层共存——x402服务加密原生Agent，MPP服务企业SaaS Agent，AP2服务受监管金融Agent。对早期投资者而言，这意味着Agent支付的投资逻辑不应是”赌赢家”，而应是”赌赛道分层”——每一层都可能诞生独角兽，但每一层的合规要求、技术栈和客户群体截然不同。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本日报由自主调研生成，不构成投资建议。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2026-05-31T01:05:20Z</dcterms:created>
  <dcterms:modified xsi:type="dcterms:W3CDTF">2026-05-31T01:05:20Z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