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vc投资日报-2026年06月17日"/>
    <w:p>
      <w:pPr>
        <w:pStyle w:val="Heading1"/>
      </w:pPr>
      <w:r>
        <w:t xml:space="preserve">VC投资日报 — 2026年06月17日</w:t>
      </w:r>
    </w:p>
    <w:p>
      <w:pPr>
        <w:pStyle w:val="BlockText"/>
      </w:pPr>
      <w:r>
        <w:rPr>
          <w:bCs/>
          <w:b/>
        </w:rPr>
        <w:t xml:space="preserve">Date:</w:t>
      </w:r>
      <w:r>
        <w:t xml:space="preserve"> </w:t>
      </w:r>
      <w:r>
        <w:t xml:space="preserve">2026-06-17（周二）</w:t>
      </w:r>
      <w:r>
        <w:br/>
      </w:r>
      <w:r>
        <w:rPr>
          <w:bCs/>
          <w:b/>
        </w:rPr>
        <w:t xml:space="preserve">Research Window:</w:t>
      </w:r>
      <w:r>
        <w:t xml:space="preserve"> </w:t>
      </w:r>
      <w:r>
        <w:t xml:space="preserve">2026-06-16 09:00 ~ 2026-06-17 09:00（UTC+8）</w:t>
      </w:r>
      <w:r>
        <w:br/>
      </w:r>
      <w:r>
        <w:rPr>
          <w:bCs/>
          <w:b/>
        </w:rPr>
        <w:t xml:space="preserve">Sources:</w:t>
      </w:r>
      <w:r>
        <w:t xml:space="preserve"> </w:t>
      </w:r>
      <w:r>
        <w:t xml:space="preserve">财新、36氪、投资界、投中网、科创板日报、TechCrunch、The Information、PYMNTS、AI Weekly、Futunn、CSDN、公开披露</w:t>
      </w:r>
      <w:r>
        <w:br/>
      </w:r>
      <w:r>
        <w:rPr>
          <w:bCs/>
          <w:b/>
        </w:rPr>
        <w:t xml:space="preserve">Report Type:</w:t>
      </w:r>
      <w:r>
        <w:t xml:space="preserve"> </w:t>
      </w:r>
      <w:r>
        <w:t xml:space="preserve">Autonomous Daily Brief — AI Applications / Smart Hardware / Web3 Agentic Payment</w:t>
      </w:r>
    </w:p>
    <w:p>
      <w:r>
        <w:pict>
          <v:rect style="width:0;height:1.5pt" o:hralign="center" o:hrstd="t" o:hr="t"/>
        </w:pict>
      </w:r>
    </w:p>
    <w:bookmarkStart w:id="20" w:name="日报导读"/>
    <w:p>
      <w:pPr>
        <w:pStyle w:val="Heading2"/>
      </w:pPr>
      <w:r>
        <w:t xml:space="preserve">0. 日报导读</w:t>
      </w:r>
    </w:p>
    <w:p>
      <w:pPr>
        <w:pStyle w:val="FirstParagraph"/>
      </w:pPr>
      <w:r>
        <w:rPr>
          <w:bCs/>
          <w:b/>
        </w:rPr>
        <w:t xml:space="preserve">核心信号：</w:t>
      </w:r>
      <w:r>
        <w:t xml:space="preserve"> </w:t>
      </w:r>
      <w:r>
        <w:t xml:space="preserve">过去24小时一级市场呈现“AI Agent治理层融资爆发 + 国产大模型/具身智能政策与产品双催化 + 全球AI监管与资本退出事件共振”的三主线：DeepSeek完成中国AI史上最大单轮外部融资；前阿里通义负责人林俊旸的新AI实验室以20亿美元估值完成首轮融资，高榕与红杉中国联合领投；微信正式发布AI Agent生态接入指南并上线滴滴深度集成；Agent身份与授权基础设施NewCore、Arcade.dev同日大额融资；工信部与国资委联合启动人形机器人/具身智能实景训练专项行动，赛力斯、智元、松延同日发布新品；SpaceX在IPO后以600亿美元收购Cursor，G7峰会首次齐聚Altman、Amodei、Hassabis讨论AI治理。</w:t>
      </w:r>
    </w:p>
    <w:p>
      <w:pPr>
        <w:pStyle w:val="BodyText"/>
      </w:pPr>
      <w:r>
        <w:rPr>
          <w:bCs/>
          <w:b/>
        </w:rPr>
        <w:t xml:space="preserve">今日 highlight：</w:t>
      </w:r>
      <w:r>
        <w:t xml:space="preserve"> </w:t>
      </w:r>
      <w:r>
        <w:t xml:space="preserve">Agent竞赛正从“模型能力”快速切换到“信任基础设施”——谁控制Agent的身份、授权、审计与生态入口，谁就可能捕获下一层价值。这与“让人越来越蠢，让Agent越来越聪明”的底层哲学一致：Agent越聪明，越需要可被人类/机构治理。</w:t>
      </w:r>
    </w:p>
    <w:p>
      <w:r>
        <w:pict>
          <v:rect style="width:0;height:1.5pt" o:hralign="center" o:hrstd="t" o:hr="t"/>
        </w:pict>
      </w:r>
    </w:p>
    <w:bookmarkEnd w:id="20"/>
    <w:bookmarkStart w:id="24" w:name="一ai应用层信号"/>
    <w:p>
      <w:pPr>
        <w:pStyle w:val="Heading2"/>
      </w:pPr>
      <w:r>
        <w:t xml:space="preserve">一、AI应用层信号</w:t>
      </w:r>
    </w:p>
    <w:bookmarkStart w:id="21" w:name="高优先级"/>
    <w:p>
      <w:pPr>
        <w:pStyle w:val="Heading3"/>
      </w:pPr>
      <w:r>
        <w:t xml:space="preserve">🔥 高优先级</w:t>
      </w:r>
    </w:p>
    <w:p>
      <w:pPr>
        <w:pStyle w:val="FirstParagraph"/>
      </w:pPr>
      <w:r>
        <w:rPr>
          <w:bCs/>
          <w:b/>
        </w:rPr>
        <w:t xml:space="preserve">DeepSeek完成首轮融资超70亿美元，投后估值突破500亿美元</w:t>
      </w:r>
      <w:r>
        <w:t xml:space="preserve">（6月16日披露）</w:t>
      </w:r>
      <w:r>
        <w:t xml:space="preserve"> </w:t>
      </w:r>
      <w:r>
        <w:t xml:space="preserve">-</w:t>
      </w:r>
      <w:r>
        <w:t xml:space="preserve"> </w:t>
      </w:r>
      <w:r>
        <w:rPr>
          <w:bCs/>
          <w:b/>
        </w:rPr>
        <w:t xml:space="preserve">轮次/金额：</w:t>
      </w:r>
      <w:r>
        <w:t xml:space="preserve"> </w:t>
      </w:r>
      <w:r>
        <w:t xml:space="preserve">首轮外部融资，约74亿美元（500亿元人民币）</w:t>
      </w:r>
      <w:r>
        <w:t xml:space="preserve"> </w:t>
      </w:r>
      <w:r>
        <w:t xml:space="preserve">-</w:t>
      </w:r>
      <w:r>
        <w:t xml:space="preserve"> </w:t>
      </w:r>
      <w:r>
        <w:rPr>
          <w:bCs/>
          <w:b/>
        </w:rPr>
        <w:t xml:space="preserve">估值：</w:t>
      </w:r>
      <w:r>
        <w:t xml:space="preserve"> </w:t>
      </w:r>
      <w:r>
        <w:t xml:space="preserve">超500亿美元（约3,380亿元人民币），为中国AI初创企业迄今最大单轮融资</w:t>
      </w:r>
      <w:r>
        <w:t xml:space="preserve"> </w:t>
      </w:r>
      <w:r>
        <w:t xml:space="preserve">-</w:t>
      </w:r>
      <w:r>
        <w:t xml:space="preserve"> </w:t>
      </w:r>
      <w:r>
        <w:rPr>
          <w:bCs/>
          <w:b/>
        </w:rPr>
        <w:t xml:space="preserve">投资方：</w:t>
      </w:r>
      <w:r>
        <w:t xml:space="preserve"> </w:t>
      </w:r>
      <w:r>
        <w:t xml:space="preserve">创始人梁文锋个人出资约200亿元人民币；腾讯100亿元；宁德时代50亿元；京东、网易、IDG资本各30亿元；国家人工智能产业投资基金直接投资10亿元</w:t>
      </w:r>
      <w:r>
        <w:t xml:space="preserve"> </w:t>
      </w:r>
      <w:r>
        <w:t xml:space="preserve">-</w:t>
      </w:r>
      <w:r>
        <w:t xml:space="preserve"> </w:t>
      </w:r>
      <w:r>
        <w:rPr>
          <w:bCs/>
          <w:b/>
        </w:rPr>
        <w:t xml:space="preserve">治理结构：</w:t>
      </w:r>
      <w:r>
        <w:t xml:space="preserve"> </w:t>
      </w:r>
      <w:r>
        <w:t xml:space="preserve">除国家人工智能产业投资基金外，外部投资资金注入梁文锋管理的有限合伙企业，不享有DeepSeek主体投票权，仅可获取特定财务信息与后续融资优先认购权；所有外部股份设五年锁定期，国家基金除外并保留投票权</w:t>
      </w:r>
      <w:r>
        <w:t xml:space="preserve"> </w:t>
      </w:r>
      <w:r>
        <w:t xml:space="preserve">-</w:t>
      </w:r>
      <w:r>
        <w:t xml:space="preserve"> </w:t>
      </w:r>
      <w:r>
        <w:rPr>
          <w:bCs/>
          <w:b/>
        </w:rPr>
        <w:t xml:space="preserve">背景：</w:t>
      </w:r>
      <w:r>
        <w:t xml:space="preserve"> </w:t>
      </w:r>
      <w:r>
        <w:t xml:space="preserve">DeepSeek（杭州深度求索）此前长期依赖自有资金运营，以低成本、开源、极致工程效率的大模型闻名</w:t>
      </w:r>
      <w:r>
        <w:t xml:space="preserve"> </w:t>
      </w:r>
      <w:r>
        <w:t xml:space="preserve">-</w:t>
      </w:r>
      <w:r>
        <w:t xml:space="preserve"> </w:t>
      </w:r>
      <w:r>
        <w:rPr>
          <w:bCs/>
          <w:b/>
        </w:rPr>
        <w:t xml:space="preserve">信号解读：</w:t>
      </w:r>
      <w:r>
        <w:t xml:space="preserve"> </w:t>
      </w:r>
      <w:r>
        <w:t xml:space="preserve">一家从未接受外部融资的技术团队在60天内将估值从约100亿美元推升至500亿美元，显示国家队、互联网巨头与产业资本对中国顶尖基础模型资产的争夺；同时，创始人通过有限合伙架构保留绝对控制，为后续融资与国家战略协同留下制度弹性</w:t>
      </w:r>
    </w:p>
    <w:p>
      <w:pPr>
        <w:pStyle w:val="BodyText"/>
      </w:pPr>
      <w:r>
        <w:rPr>
          <w:bCs/>
          <w:b/>
        </w:rPr>
        <w:t xml:space="preserve">前阿里通义负责人林俊旸创立新AI实验室，首轮融资估值20亿美元</w:t>
      </w:r>
      <w:r>
        <w:t xml:space="preserve">（6月16日披露）</w:t>
      </w:r>
      <w:r>
        <w:t xml:space="preserve"> </w:t>
      </w:r>
      <w:r>
        <w:t xml:space="preserve">-</w:t>
      </w:r>
      <w:r>
        <w:t xml:space="preserve"> </w:t>
      </w:r>
      <w:r>
        <w:rPr>
          <w:bCs/>
          <w:b/>
        </w:rPr>
        <w:t xml:space="preserve">轮次/金额：</w:t>
      </w:r>
      <w:r>
        <w:t xml:space="preserve"> </w:t>
      </w:r>
      <w:r>
        <w:t xml:space="preserve">首轮融资，总规模约2亿美元（具体金额未完全披露）</w:t>
      </w:r>
      <w:r>
        <w:t xml:space="preserve"> </w:t>
      </w:r>
      <w:r>
        <w:t xml:space="preserve">-</w:t>
      </w:r>
      <w:r>
        <w:t xml:space="preserve"> </w:t>
      </w:r>
      <w:r>
        <w:rPr>
          <w:bCs/>
          <w:b/>
        </w:rPr>
        <w:t xml:space="preserve">估值：</w:t>
      </w:r>
      <w:r>
        <w:t xml:space="preserve"> </w:t>
      </w:r>
      <w:r>
        <w:t xml:space="preserve">投后约20亿美元（135亿元人民币）</w:t>
      </w:r>
      <w:r>
        <w:t xml:space="preserve"> </w:t>
      </w:r>
      <w:r>
        <w:t xml:space="preserve">-</w:t>
      </w:r>
      <w:r>
        <w:t xml:space="preserve"> </w:t>
      </w:r>
      <w:r>
        <w:rPr>
          <w:bCs/>
          <w:b/>
        </w:rPr>
        <w:t xml:space="preserve">领投方：</w:t>
      </w:r>
      <w:r>
        <w:t xml:space="preserve"> </w:t>
      </w:r>
      <w:r>
        <w:t xml:space="preserve">高榕资本（Gaorong Capital）、红杉中国（Sequoia China）各出资约1亿美元</w:t>
      </w:r>
      <w:r>
        <w:t xml:space="preserve"> </w:t>
      </w:r>
      <w:r>
        <w:t xml:space="preserve">-</w:t>
      </w:r>
      <w:r>
        <w:t xml:space="preserve"> </w:t>
      </w:r>
      <w:r>
        <w:rPr>
          <w:bCs/>
          <w:b/>
        </w:rPr>
        <w:t xml:space="preserve">跟投方：</w:t>
      </w:r>
      <w:r>
        <w:t xml:space="preserve"> </w:t>
      </w:r>
      <w:r>
        <w:t xml:space="preserve">腾讯约2,000万美元</w:t>
      </w:r>
      <w:r>
        <w:t xml:space="preserve"> </w:t>
      </w:r>
      <w:r>
        <w:t xml:space="preserve">-</w:t>
      </w:r>
      <w:r>
        <w:t xml:space="preserve"> </w:t>
      </w:r>
      <w:r>
        <w:rPr>
          <w:bCs/>
          <w:b/>
        </w:rPr>
        <w:t xml:space="preserve">背景：</w:t>
      </w:r>
      <w:r>
        <w:t xml:space="preserve"> </w:t>
      </w:r>
      <w:r>
        <w:t xml:space="preserve">林俊旸为前阿里巴巴通义大模型负责人，离开后创立独立AI实验室； reportedly 已启动新一轮融资</w:t>
      </w:r>
      <w:r>
        <w:t xml:space="preserve"> </w:t>
      </w:r>
      <w:r>
        <w:t xml:space="preserve">-</w:t>
      </w:r>
      <w:r>
        <w:t xml:space="preserve"> </w:t>
      </w:r>
      <w:r>
        <w:rPr>
          <w:bCs/>
          <w:b/>
        </w:rPr>
        <w:t xml:space="preserve">信号解读：</w:t>
      </w:r>
      <w:r>
        <w:t xml:space="preserve"> </w:t>
      </w:r>
      <w:r>
        <w:t xml:space="preserve">顶尖模型人才从大厂溢出创业并获一线VC重注，标志着“模型平台—应用”分层生态加速形成；高榕深度参与此轮，与Gaorong聚焦AI应用与基础设施的thesis高度相关</w:t>
      </w:r>
    </w:p>
    <w:p>
      <w:pPr>
        <w:pStyle w:val="BodyText"/>
      </w:pPr>
      <w:r>
        <w:rPr>
          <w:bCs/>
          <w:b/>
        </w:rPr>
        <w:t xml:space="preserve">微信正式发布AI Agent生态接入指南，滴滴深度集成上线</w:t>
      </w:r>
      <w:r>
        <w:t xml:space="preserve">（6月8-16日逐步披露）</w:t>
      </w:r>
      <w:r>
        <w:t xml:space="preserve"> </w:t>
      </w:r>
      <w:r>
        <w:t xml:space="preserve">-</w:t>
      </w:r>
      <w:r>
        <w:t xml:space="preserve"> </w:t>
      </w:r>
      <w:r>
        <w:rPr>
          <w:bCs/>
          <w:b/>
        </w:rPr>
        <w:t xml:space="preserve">发布方：</w:t>
      </w:r>
      <w:r>
        <w:t xml:space="preserve"> </w:t>
      </w:r>
      <w:r>
        <w:t xml:space="preserve">腾讯微信（WeChat）</w:t>
      </w:r>
      <w:r>
        <w:t xml:space="preserve"> </w:t>
      </w:r>
      <w:r>
        <w:t xml:space="preserve">-</w:t>
      </w:r>
      <w:r>
        <w:t xml:space="preserve"> </w:t>
      </w:r>
      <w:r>
        <w:rPr>
          <w:bCs/>
          <w:b/>
        </w:rPr>
        <w:t xml:space="preserve">核心动作：</w:t>
      </w:r>
      <w:r>
        <w:t xml:space="preserve"> </w:t>
      </w:r>
      <w:r>
        <w:t xml:space="preserve">6月8日微信通过“微信开放课堂”发布《微信AI生态接入指南》，向小程序开发者开放自动模式与开发模式两种接入方式；AI Agent负责理解用户意图、选择能力、编排执行并返回结果</w:t>
      </w:r>
      <w:r>
        <w:t xml:space="preserve"> </w:t>
      </w:r>
      <w:r>
        <w:t xml:space="preserve">-</w:t>
      </w:r>
      <w:r>
        <w:t xml:space="preserve"> </w:t>
      </w:r>
      <w:r>
        <w:rPr>
          <w:bCs/>
          <w:b/>
        </w:rPr>
        <w:t xml:space="preserve">首批内测平台：</w:t>
      </w:r>
      <w:r>
        <w:t xml:space="preserve"> </w:t>
      </w:r>
      <w:r>
        <w:t xml:space="preserve">京东、美团、滴滴、携程、同程旅行、得物、肯德基、美图秀秀等；荣耀已完成A2A协议接入，华为、小米、OPPO、vivo跟进中</w:t>
      </w:r>
      <w:r>
        <w:t xml:space="preserve"> </w:t>
      </w:r>
      <w:r>
        <w:t xml:space="preserve">-</w:t>
      </w:r>
      <w:r>
        <w:t xml:space="preserve"> </w:t>
      </w:r>
      <w:r>
        <w:rPr>
          <w:bCs/>
          <w:b/>
        </w:rPr>
        <w:t xml:space="preserve">滴滴场景：</w:t>
      </w:r>
      <w:r>
        <w:t xml:space="preserve"> </w:t>
      </w:r>
      <w:r>
        <w:t xml:space="preserve">用户可在微信内通过自然语言呼叫滴滴，例如“帮我叫辆去机场的车”</w:t>
      </w:r>
      <w:r>
        <w:t xml:space="preserve">“</w:t>
      </w:r>
      <w:r>
        <w:t xml:space="preserve">我要经济型或舒适型</w:t>
      </w:r>
      <w:r>
        <w:t xml:space="preserve">”</w:t>
      </w:r>
      <w:r>
        <w:t xml:space="preserve">，系统自动识别行程距离并结合个人偏好匹配车型，无需跳转App</w:t>
      </w:r>
      <w:r>
        <w:t xml:space="preserve"> </w:t>
      </w:r>
      <w:r>
        <w:t xml:space="preserve">-</w:t>
      </w:r>
      <w:r>
        <w:t xml:space="preserve"> </w:t>
      </w:r>
      <w:r>
        <w:rPr>
          <w:bCs/>
          <w:b/>
        </w:rPr>
        <w:t xml:space="preserve">设计原则：</w:t>
      </w:r>
      <w:r>
        <w:t xml:space="preserve"> </w:t>
      </w:r>
      <w:r>
        <w:t xml:space="preserve">接入为开发者自愿，开发者自行封装Skill与暴露API；AI不能越权调用未授权能力，强调“应用级授权+用户级授权”的双授权机制</w:t>
      </w:r>
      <w:r>
        <w:t xml:space="preserve"> </w:t>
      </w:r>
      <w:r>
        <w:t xml:space="preserve">-</w:t>
      </w:r>
      <w:r>
        <w:t xml:space="preserve"> </w:t>
      </w:r>
      <w:r>
        <w:rPr>
          <w:bCs/>
          <w:b/>
        </w:rPr>
        <w:t xml:space="preserve">背景：</w:t>
      </w:r>
      <w:r>
        <w:t xml:space="preserve"> </w:t>
      </w:r>
      <w:r>
        <w:t xml:space="preserve">微信月活用户约14亿，小程序生态覆盖电商、本地生活、出行、支付等核心场景</w:t>
      </w:r>
      <w:r>
        <w:t xml:space="preserve"> </w:t>
      </w:r>
      <w:r>
        <w:t xml:space="preserve">-</w:t>
      </w:r>
      <w:r>
        <w:t xml:space="preserve"> </w:t>
      </w:r>
      <w:r>
        <w:rPr>
          <w:bCs/>
          <w:b/>
        </w:rPr>
        <w:t xml:space="preserve">信号解读：</w:t>
      </w:r>
      <w:r>
        <w:t xml:space="preserve"> </w:t>
      </w:r>
      <w:r>
        <w:t xml:space="preserve">超级App正在成为Agent生态的“守门人”——其竞争壁垒不是模型性能，而是分发、支付、信任与开发者关系；这种“被控制的Agent”模式可能比系统级GUI Agent更符合监管与平台利益</w:t>
      </w:r>
    </w:p>
    <w:p>
      <w:pPr>
        <w:pStyle w:val="BodyText"/>
      </w:pPr>
      <w:r>
        <w:rPr>
          <w:bCs/>
          <w:b/>
        </w:rPr>
        <w:t xml:space="preserve">NewCore完成6,600万美元种子轮融资，专注AI Agent身份治理</w:t>
      </w:r>
      <w:r>
        <w:t xml:space="preserve">（6月15-16日披露）</w:t>
      </w:r>
      <w:r>
        <w:t xml:space="preserve"> </w:t>
      </w:r>
      <w:r>
        <w:t xml:space="preserve">-</w:t>
      </w:r>
      <w:r>
        <w:t xml:space="preserve"> </w:t>
      </w:r>
      <w:r>
        <w:rPr>
          <w:bCs/>
          <w:b/>
        </w:rPr>
        <w:t xml:space="preserve">轮次/金额：</w:t>
      </w:r>
      <w:r>
        <w:t xml:space="preserve"> </w:t>
      </w:r>
      <w:r>
        <w:t xml:space="preserve">种子轮，6,600万美元</w:t>
      </w:r>
      <w:r>
        <w:t xml:space="preserve"> </w:t>
      </w:r>
      <w:r>
        <w:t xml:space="preserve">-</w:t>
      </w:r>
      <w:r>
        <w:t xml:space="preserve"> </w:t>
      </w:r>
      <w:r>
        <w:rPr>
          <w:bCs/>
          <w:b/>
        </w:rPr>
        <w:t xml:space="preserve">估值：</w:t>
      </w:r>
      <w:r>
        <w:t xml:space="preserve"> </w:t>
      </w:r>
      <w:r>
        <w:t xml:space="preserve">3亿美元投后</w:t>
      </w:r>
      <w:r>
        <w:t xml:space="preserve"> </w:t>
      </w:r>
      <w:r>
        <w:t xml:space="preserve">-</w:t>
      </w:r>
      <w:r>
        <w:t xml:space="preserve"> </w:t>
      </w:r>
      <w:r>
        <w:rPr>
          <w:bCs/>
          <w:b/>
        </w:rPr>
        <w:t xml:space="preserve">领投方：</w:t>
      </w:r>
      <w:r>
        <w:t xml:space="preserve"> </w:t>
      </w:r>
      <w:r>
        <w:t xml:space="preserve">Cyberstarts</w:t>
      </w:r>
      <w:r>
        <w:t xml:space="preserve"> </w:t>
      </w:r>
      <w:r>
        <w:t xml:space="preserve">-</w:t>
      </w:r>
      <w:r>
        <w:t xml:space="preserve"> </w:t>
      </w:r>
      <w:r>
        <w:rPr>
          <w:bCs/>
          <w:b/>
        </w:rPr>
        <w:t xml:space="preserve">跟投方：</w:t>
      </w:r>
      <w:r>
        <w:t xml:space="preserve"> </w:t>
      </w:r>
      <w:r>
        <w:t xml:space="preserve">Index Ventures、Evolution Equity Partners</w:t>
      </w:r>
      <w:r>
        <w:t xml:space="preserve"> </w:t>
      </w:r>
      <w:r>
        <w:t xml:space="preserve">-</w:t>
      </w:r>
      <w:r>
        <w:t xml:space="preserve"> </w:t>
      </w:r>
      <w:r>
        <w:rPr>
          <w:bCs/>
          <w:b/>
        </w:rPr>
        <w:t xml:space="preserve">背景：</w:t>
      </w:r>
      <w:r>
        <w:t xml:space="preserve"> </w:t>
      </w:r>
      <w:r>
        <w:t xml:space="preserve">总部位于以色列特拉维夫，在美国旧金山运营；CEO Zohar Alon此前创立Dome9（后被Check Point收购），CTO Amihai Neiderman为Unit 8200前研究负责人</w:t>
      </w:r>
      <w:r>
        <w:t xml:space="preserve"> </w:t>
      </w:r>
      <w:r>
        <w:t xml:space="preserve">-</w:t>
      </w:r>
      <w:r>
        <w:t xml:space="preserve"> </w:t>
      </w:r>
      <w:r>
        <w:rPr>
          <w:bCs/>
          <w:b/>
        </w:rPr>
        <w:t xml:space="preserve">核心动作：</w:t>
      </w:r>
      <w:r>
        <w:t xml:space="preserve"> </w:t>
      </w:r>
      <w:r>
        <w:t xml:space="preserve">为企业中的人与AI Agent提供统一身份平台，将每个Agent视为一等身份，支持最短生命周期令牌、任务级授权、实时访问评估与完整审计链路</w:t>
      </w:r>
      <w:r>
        <w:t xml:space="preserve"> </w:t>
      </w:r>
      <w:r>
        <w:t xml:space="preserve">-</w:t>
      </w:r>
      <w:r>
        <w:t xml:space="preserve"> </w:t>
      </w:r>
      <w:r>
        <w:rPr>
          <w:bCs/>
          <w:b/>
        </w:rPr>
        <w:t xml:space="preserve">信号解读：</w:t>
      </w:r>
      <w:r>
        <w:t xml:space="preserve"> </w:t>
      </w:r>
      <w:r>
        <w:t xml:space="preserve">Agent进入生产环境后，传统IAM（身份与访问管理）体系面临崩溃风险；投资者愿意为“从0开始为Agent构建的身份层”支付种子轮3亿美元估值，说明Agent治理已成为独立品类</w:t>
      </w:r>
    </w:p>
    <w:p>
      <w:pPr>
        <w:pStyle w:val="BodyText"/>
      </w:pPr>
      <w:r>
        <w:rPr>
          <w:bCs/>
          <w:b/>
        </w:rPr>
        <w:t xml:space="preserve">Arcade.dev完成6,000万美元A轮融资，打造企业Agent授权层</w:t>
      </w:r>
      <w:r>
        <w:t xml:space="preserve">（6月15-16日披露）</w:t>
      </w:r>
      <w:r>
        <w:t xml:space="preserve"> </w:t>
      </w:r>
      <w:r>
        <w:t xml:space="preserve">-</w:t>
      </w:r>
      <w:r>
        <w:t xml:space="preserve"> </w:t>
      </w:r>
      <w:r>
        <w:rPr>
          <w:bCs/>
          <w:b/>
        </w:rPr>
        <w:t xml:space="preserve">轮次/金额：</w:t>
      </w:r>
      <w:r>
        <w:t xml:space="preserve"> </w:t>
      </w:r>
      <w:r>
        <w:t xml:space="preserve">Series A，6,000万美元；累计融资7,200万美元（此前1,200万美元种子轮）</w:t>
      </w:r>
      <w:r>
        <w:t xml:space="preserve"> </w:t>
      </w:r>
      <w:r>
        <w:t xml:space="preserve">-</w:t>
      </w:r>
      <w:r>
        <w:t xml:space="preserve"> </w:t>
      </w:r>
      <w:r>
        <w:rPr>
          <w:bCs/>
          <w:b/>
        </w:rPr>
        <w:t xml:space="preserve">领投方：</w:t>
      </w:r>
      <w:r>
        <w:t xml:space="preserve"> </w:t>
      </w:r>
      <w:r>
        <w:t xml:space="preserve">SYN Ventures</w:t>
      </w:r>
      <w:r>
        <w:t xml:space="preserve"> </w:t>
      </w:r>
      <w:r>
        <w:t xml:space="preserve">-</w:t>
      </w:r>
      <w:r>
        <w:t xml:space="preserve"> </w:t>
      </w:r>
      <w:r>
        <w:rPr>
          <w:bCs/>
          <w:b/>
        </w:rPr>
        <w:t xml:space="preserve">战略投资方：</w:t>
      </w:r>
      <w:r>
        <w:t xml:space="preserve"> </w:t>
      </w:r>
      <w:r>
        <w:t xml:space="preserve">Morgan Stanley、Wipro</w:t>
      </w:r>
      <w:r>
        <w:t xml:space="preserve"> </w:t>
      </w:r>
      <w:r>
        <w:t xml:space="preserve">-</w:t>
      </w:r>
      <w:r>
        <w:t xml:space="preserve"> </w:t>
      </w:r>
      <w:r>
        <w:rPr>
          <w:bCs/>
          <w:b/>
        </w:rPr>
        <w:t xml:space="preserve">核心动作：</w:t>
      </w:r>
      <w:r>
        <w:t xml:space="preserve"> </w:t>
      </w:r>
      <w:r>
        <w:t xml:space="preserve">提供“secure action layer”，决定代表用户行动的Agent是否有权访问特定应用、数据库或工作流；维护每一次Agent行动的完整审计轨迹</w:t>
      </w:r>
      <w:r>
        <w:t xml:space="preserve"> </w:t>
      </w:r>
      <w:r>
        <w:t xml:space="preserve">-</w:t>
      </w:r>
      <w:r>
        <w:t xml:space="preserve"> </w:t>
      </w:r>
      <w:r>
        <w:rPr>
          <w:bCs/>
          <w:b/>
        </w:rPr>
        <w:t xml:space="preserve">信号解读：</w:t>
      </w:r>
      <w:r>
        <w:t xml:space="preserve"> </w:t>
      </w:r>
      <w:r>
        <w:t xml:space="preserve">企业Agent落地真正的瓶颈不是模型能力，而是“谁能证明这个Agent在此刻、代表此人、对此资源执行此操作是被允许的”；Morgan Stanley与Wipro的战略投资表明大型企业买家正从试点走向生产部署</w:t>
      </w:r>
    </w:p>
    <w:bookmarkEnd w:id="21"/>
    <w:bookmarkStart w:id="22" w:name="中优先级"/>
    <w:p>
      <w:pPr>
        <w:pStyle w:val="Heading3"/>
      </w:pPr>
      <w:r>
        <w:t xml:space="preserve">📌 中优先级</w:t>
      </w:r>
    </w:p>
    <w:p>
      <w:pPr>
        <w:pStyle w:val="FirstParagraph"/>
      </w:pPr>
      <w:r>
        <w:rPr>
          <w:bCs/>
          <w:b/>
        </w:rPr>
        <w:t xml:space="preserve">智谱GLM-5.2全量开放，港股两日累涨超35%</w:t>
      </w:r>
      <w:r>
        <w:t xml:space="preserve">（6月13日发布，6月16日催化延续）</w:t>
      </w:r>
      <w:r>
        <w:t xml:space="preserve"> </w:t>
      </w:r>
      <w:r>
        <w:t xml:space="preserve">-</w:t>
      </w:r>
      <w:r>
        <w:t xml:space="preserve"> </w:t>
      </w:r>
      <w:r>
        <w:rPr>
          <w:bCs/>
          <w:b/>
        </w:rPr>
        <w:t xml:space="preserve">发布方：</w:t>
      </w:r>
      <w:r>
        <w:t xml:space="preserve"> </w:t>
      </w:r>
      <w:r>
        <w:t xml:space="preserve">智谱AI（Zhipu AI，港股02513.HK）</w:t>
      </w:r>
      <w:r>
        <w:t xml:space="preserve"> </w:t>
      </w:r>
      <w:r>
        <w:t xml:space="preserve">-</w:t>
      </w:r>
      <w:r>
        <w:t xml:space="preserve"> </w:t>
      </w:r>
      <w:r>
        <w:rPr>
          <w:bCs/>
          <w:b/>
        </w:rPr>
        <w:t xml:space="preserve">核心动作：</w:t>
      </w:r>
      <w:r>
        <w:t xml:space="preserve"> </w:t>
      </w:r>
      <w:r>
        <w:t xml:space="preserve">GLM-5.2向所有Coding Plan用户开放，支持可用1M token上下文窗口，定位长程编程与Agent任务；独立API与MIT开源权重将于发布次周上线</w:t>
      </w:r>
      <w:r>
        <w:t xml:space="preserve"> </w:t>
      </w:r>
      <w:r>
        <w:t xml:space="preserve">-</w:t>
      </w:r>
      <w:r>
        <w:t xml:space="preserve"> </w:t>
      </w:r>
      <w:r>
        <w:rPr>
          <w:bCs/>
          <w:b/>
        </w:rPr>
        <w:t xml:space="preserve">市场反应：</w:t>
      </w:r>
      <w:r>
        <w:t xml:space="preserve"> </w:t>
      </w:r>
      <w:r>
        <w:t xml:space="preserve">6月13-16日智谱港股两日累计涨幅超35%，市值大幅攀升</w:t>
      </w:r>
      <w:r>
        <w:t xml:space="preserve"> </w:t>
      </w:r>
      <w:r>
        <w:t xml:space="preserve">-</w:t>
      </w:r>
      <w:r>
        <w:t xml:space="preserve"> </w:t>
      </w:r>
      <w:r>
        <w:rPr>
          <w:bCs/>
          <w:b/>
        </w:rPr>
        <w:t xml:space="preserve">信号解读：</w:t>
      </w:r>
      <w:r>
        <w:t xml:space="preserve"> </w:t>
      </w:r>
      <w:r>
        <w:t xml:space="preserve">国内领先模型公司正式将“开发者生态”作为核心战场；在Anthropic Fable 5因美国出口管制下架的背景下，开源/开放权重模型可能获得替代性红利</w:t>
      </w:r>
    </w:p>
    <w:p>
      <w:pPr>
        <w:pStyle w:val="BodyText"/>
      </w:pPr>
      <w:r>
        <w:rPr>
          <w:bCs/>
          <w:b/>
        </w:rPr>
        <w:t xml:space="preserve">ChatGPT移动应用月活突破10亿，创消费应用历史最快纪录</w:t>
      </w:r>
      <w:r>
        <w:t xml:space="preserve">（6月16日报道）</w:t>
      </w:r>
      <w:r>
        <w:t xml:space="preserve"> </w:t>
      </w:r>
      <w:r>
        <w:t xml:space="preserve">-</w:t>
      </w:r>
      <w:r>
        <w:t xml:space="preserve"> </w:t>
      </w:r>
      <w:r>
        <w:rPr>
          <w:bCs/>
          <w:b/>
        </w:rPr>
        <w:t xml:space="preserve">数据：</w:t>
      </w:r>
      <w:r>
        <w:t xml:space="preserve"> </w:t>
      </w:r>
      <w:r>
        <w:t xml:space="preserve">据Sensor Tower/Reuters数据，ChatGPT移动应用月活跃用户（MAU）在2026年5月突破10亿，成为历史上最快达到该里程碑的消费应用</w:t>
      </w:r>
      <w:r>
        <w:t xml:space="preserve"> </w:t>
      </w:r>
      <w:r>
        <w:t xml:space="preserve">-</w:t>
      </w:r>
      <w:r>
        <w:t xml:space="preserve"> </w:t>
      </w:r>
      <w:r>
        <w:rPr>
          <w:bCs/>
          <w:b/>
        </w:rPr>
        <w:t xml:space="preserve">背景：</w:t>
      </w:r>
      <w:r>
        <w:t xml:space="preserve"> </w:t>
      </w:r>
      <w:r>
        <w:t xml:space="preserve">OpenAI年化收入已超250亿美元，企业工位超700万；OpenAI于6月8日提交保密S-1，目标估值7,300亿-8,520亿美元</w:t>
      </w:r>
      <w:r>
        <w:t xml:space="preserve"> </w:t>
      </w:r>
      <w:r>
        <w:t xml:space="preserve">-</w:t>
      </w:r>
      <w:r>
        <w:t xml:space="preserve"> </w:t>
      </w:r>
      <w:r>
        <w:rPr>
          <w:bCs/>
          <w:b/>
        </w:rPr>
        <w:t xml:space="preserve">信号解读：</w:t>
      </w:r>
      <w:r>
        <w:t xml:space="preserve"> </w:t>
      </w:r>
      <w:r>
        <w:t xml:space="preserve">10亿MAU为OpenAI IPO叙事提供关键用户规模证明，但增长质量（付费转化、留存、ARPU）将成为公开市场的核心关注点</w:t>
      </w:r>
    </w:p>
    <w:p>
      <w:pPr>
        <w:pStyle w:val="BodyText"/>
      </w:pPr>
      <w:r>
        <w:rPr>
          <w:bCs/>
          <w:b/>
        </w:rPr>
        <w:t xml:space="preserve">OpenAI承诺2026年向AI非营利公益工作投入5,000万美元</w:t>
      </w:r>
      <w:r>
        <w:t xml:space="preserve">（6月15日披露）</w:t>
      </w:r>
      <w:r>
        <w:t xml:space="preserve"> </w:t>
      </w:r>
      <w:r>
        <w:t xml:space="preserve">-</w:t>
      </w:r>
      <w:r>
        <w:t xml:space="preserve"> </w:t>
      </w:r>
      <w:r>
        <w:rPr>
          <w:bCs/>
          <w:b/>
        </w:rPr>
        <w:t xml:space="preserve">核心动作：</w:t>
      </w:r>
      <w:r>
        <w:t xml:space="preserve"> </w:t>
      </w:r>
      <w:r>
        <w:t xml:space="preserve">OpenAI Foundation宣布2026年向非营利组织投入5,000万美元People-First AI Fund，支持社区组织、教育机构等将AI用于公共利益；申请窗口开放至7月15日</w:t>
      </w:r>
      <w:r>
        <w:t xml:space="preserve"> </w:t>
      </w:r>
      <w:r>
        <w:t xml:space="preserve">-</w:t>
      </w:r>
      <w:r>
        <w:t xml:space="preserve"> </w:t>
      </w:r>
      <w:r>
        <w:rPr>
          <w:bCs/>
          <w:b/>
        </w:rPr>
        <w:t xml:space="preserve">信号解读：</w:t>
      </w:r>
      <w:r>
        <w:t xml:space="preserve"> </w:t>
      </w:r>
      <w:r>
        <w:t xml:space="preserve">在IPO前期，OpenAI通过公益基金强化“AGI造福人类”的公共叙事，同时收集真实社区用例以支撑产品与监管沟通</w:t>
      </w:r>
    </w:p>
    <w:bookmarkEnd w:id="22"/>
    <w:bookmarkStart w:id="23" w:name="观察"/>
    <w:p>
      <w:pPr>
        <w:pStyle w:val="Heading3"/>
      </w:pPr>
      <w:r>
        <w:t xml:space="preserve">💡 观察</w:t>
      </w:r>
    </w:p>
    <w:p>
      <w:pPr>
        <w:numPr>
          <w:ilvl w:val="0"/>
          <w:numId w:val="1001"/>
        </w:numPr>
        <w:pStyle w:val="Compact"/>
      </w:pPr>
      <w:r>
        <w:rPr>
          <w:bCs/>
          <w:b/>
        </w:rPr>
        <w:t xml:space="preserve">Claude Fable 5 / Mythos 5进入第六天离线：</w:t>
      </w:r>
      <w:r>
        <w:t xml:space="preserve"> </w:t>
      </w:r>
      <w:r>
        <w:t xml:space="preserve">美国商务部6月12日出口管制令要求Anthropic限制外国公民访问Fable 5与Mythos 5；截至6月17日仍未恢复，商务部部长警告可能面临刑事与民事处罚。该事件已直接促成G7峰会将“前沿AI出口管制国际协调”纳入议程</w:t>
      </w:r>
    </w:p>
    <w:p>
      <w:pPr>
        <w:numPr>
          <w:ilvl w:val="0"/>
          <w:numId w:val="1001"/>
        </w:numPr>
        <w:pStyle w:val="Compact"/>
      </w:pPr>
      <w:r>
        <w:rPr>
          <w:bCs/>
          <w:b/>
        </w:rPr>
        <w:t xml:space="preserve">G7 AI峰会首次齐聚三大实验室CEO：</w:t>
      </w:r>
      <w:r>
        <w:t xml:space="preserve"> </w:t>
      </w:r>
      <w:r>
        <w:t xml:space="preserve">6月15-17日法国埃维昂G7峰会期间，OpenAI Sam Altman、Anthropic Dario Amodei、Google DeepMind Demis Hassabis首次共同出席与各国领导人的AI工作午餐，讨论青年安全、生物/网络安全风险、出口控制协调与自愿承诺</w:t>
      </w:r>
    </w:p>
    <w:p>
      <w:pPr>
        <w:numPr>
          <w:ilvl w:val="0"/>
          <w:numId w:val="1001"/>
        </w:numPr>
        <w:pStyle w:val="Compact"/>
      </w:pPr>
      <w:r>
        <w:rPr>
          <w:bCs/>
          <w:b/>
        </w:rPr>
        <w:t xml:space="preserve">Microsoft将GitHub流量临时路由至AWS：</w:t>
      </w:r>
      <w:r>
        <w:t xml:space="preserve"> </w:t>
      </w:r>
      <w:r>
        <w:t xml:space="preserve">6月16日确认，因AI coding agents导致GitHub基础设施过载（周提交数从2025年10亿级跃升至2026年预计140亿级），微软临时借调AWS容量，显示出Agent工作负载对云基础设施的突发性需求冲击</w:t>
      </w:r>
    </w:p>
    <w:p>
      <w:r>
        <w:pict>
          <v:rect style="width:0;height:1.5pt" o:hralign="center" o:hrstd="t" o:hr="t"/>
        </w:pict>
      </w:r>
    </w:p>
    <w:bookmarkEnd w:id="23"/>
    <w:bookmarkEnd w:id="24"/>
    <w:bookmarkStart w:id="28" w:name="二智能硬件具身智能信号"/>
    <w:p>
      <w:pPr>
        <w:pStyle w:val="Heading2"/>
      </w:pPr>
      <w:r>
        <w:t xml:space="preserve">二、智能硬件/具身智能信号</w:t>
      </w:r>
    </w:p>
    <w:bookmarkStart w:id="25" w:name="高优先级-1"/>
    <w:p>
      <w:pPr>
        <w:pStyle w:val="Heading3"/>
      </w:pPr>
      <w:r>
        <w:t xml:space="preserve">🔥 高优先级</w:t>
      </w:r>
    </w:p>
    <w:p>
      <w:pPr>
        <w:pStyle w:val="FirstParagraph"/>
      </w:pPr>
      <w:r>
        <w:rPr>
          <w:bCs/>
          <w:b/>
        </w:rPr>
        <w:t xml:space="preserve">工信部与国资委联合启动“2026人形机器人与具身智能实景训练专项行动”</w:t>
      </w:r>
      <w:r>
        <w:t xml:space="preserve">（6月9日发布，6月16日市场催化延续）</w:t>
      </w:r>
      <w:r>
        <w:t xml:space="preserve"> </w:t>
      </w:r>
      <w:r>
        <w:t xml:space="preserve">-</w:t>
      </w:r>
      <w:r>
        <w:t xml:space="preserve"> </w:t>
      </w:r>
      <w:r>
        <w:rPr>
          <w:bCs/>
          <w:b/>
        </w:rPr>
        <w:t xml:space="preserve">发布方：</w:t>
      </w:r>
      <w:r>
        <w:t xml:space="preserve"> </w:t>
      </w:r>
      <w:r>
        <w:t xml:space="preserve">工业和信息化部（MIIT）+ 国务院国资委（SASAC）</w:t>
      </w:r>
      <w:r>
        <w:t xml:space="preserve"> </w:t>
      </w:r>
      <w:r>
        <w:t xml:space="preserve">-</w:t>
      </w:r>
      <w:r>
        <w:t xml:space="preserve"> </w:t>
      </w:r>
      <w:r>
        <w:rPr>
          <w:bCs/>
          <w:b/>
        </w:rPr>
        <w:t xml:space="preserve">核心目标：</w:t>
      </w:r>
      <w:r>
        <w:t xml:space="preserve"> </w:t>
      </w:r>
      <w:r>
        <w:t xml:space="preserve">到2026年底，人形机器人及关键产品在代表性真实场景中完成应用验证并实现常态化部署，进入“运行模式”；凝练100个以上高价值应用场景，形成万台级部署能力</w:t>
      </w:r>
      <w:r>
        <w:t xml:space="preserve"> </w:t>
      </w:r>
      <w:r>
        <w:t xml:space="preserve">-</w:t>
      </w:r>
      <w:r>
        <w:t xml:space="preserve"> </w:t>
      </w:r>
      <w:r>
        <w:rPr>
          <w:bCs/>
          <w:b/>
        </w:rPr>
        <w:t xml:space="preserve">实施机制：</w:t>
      </w:r>
      <w:r>
        <w:t xml:space="preserve"> </w:t>
      </w:r>
      <w:r>
        <w:t xml:space="preserve">要求各省至少遴选20个重点场景单位，覆盖工业制造、公共服务、特种作业三大领域中的至少两类；央企需在本行业挖掘至少10个重点场景；组建“创新应用联合体”，打通真实场景训练→数据积累→产品迭代→规模部署的闭环</w:t>
      </w:r>
      <w:r>
        <w:t xml:space="preserve"> </w:t>
      </w:r>
      <w:r>
        <w:t xml:space="preserve">-</w:t>
      </w:r>
      <w:r>
        <w:t xml:space="preserve"> </w:t>
      </w:r>
      <w:r>
        <w:rPr>
          <w:bCs/>
          <w:b/>
        </w:rPr>
        <w:t xml:space="preserve">支持措施：</w:t>
      </w:r>
      <w:r>
        <w:t xml:space="preserve"> </w:t>
      </w:r>
      <w:r>
        <w:t xml:space="preserve">股权投资、债权融资、保险产品及全链条金融服务；地方专项基金与政策激励</w:t>
      </w:r>
      <w:r>
        <w:t xml:space="preserve"> </w:t>
      </w:r>
      <w:r>
        <w:t xml:space="preserve">-</w:t>
      </w:r>
      <w:r>
        <w:t xml:space="preserve"> </w:t>
      </w:r>
      <w:r>
        <w:rPr>
          <w:bCs/>
          <w:b/>
        </w:rPr>
        <w:t xml:space="preserve">信号解读：</w:t>
      </w:r>
      <w:r>
        <w:t xml:space="preserve"> </w:t>
      </w:r>
      <w:r>
        <w:t xml:space="preserve">这是中国首次以部委联合专项行动形式将人形机器人/具身智能从“Demo秀”推向“真实场景训练+万台级部署”，国家战略意志将显著加速数据飞轮与产业链分工</w:t>
      </w:r>
    </w:p>
    <w:p>
      <w:pPr>
        <w:pStyle w:val="BodyText"/>
      </w:pPr>
      <w:r>
        <w:rPr>
          <w:bCs/>
          <w:b/>
        </w:rPr>
        <w:t xml:space="preserve">赛力斯（Seres）发布首款人形机器人“小赛”</w:t>
      </w:r>
      <w:r>
        <w:t xml:space="preserve">（6月15日亮相，6月16日报道）</w:t>
      </w:r>
      <w:r>
        <w:t xml:space="preserve"> </w:t>
      </w:r>
      <w:r>
        <w:t xml:space="preserve">-</w:t>
      </w:r>
      <w:r>
        <w:t xml:space="preserve"> </w:t>
      </w:r>
      <w:r>
        <w:rPr>
          <w:bCs/>
          <w:b/>
        </w:rPr>
        <w:t xml:space="preserve">产品：</w:t>
      </w:r>
      <w:r>
        <w:t xml:space="preserve"> </w:t>
      </w:r>
      <w:r>
        <w:t xml:space="preserve">人形机器人“小赛”（XiaoSai）</w:t>
      </w:r>
      <w:r>
        <w:t xml:space="preserve"> </w:t>
      </w:r>
      <w:r>
        <w:t xml:space="preserve">-</w:t>
      </w:r>
      <w:r>
        <w:t xml:space="preserve"> </w:t>
      </w:r>
      <w:r>
        <w:rPr>
          <w:bCs/>
          <w:b/>
        </w:rPr>
        <w:t xml:space="preserve">发布场景：</w:t>
      </w:r>
      <w:r>
        <w:t xml:space="preserve"> </w:t>
      </w:r>
      <w:r>
        <w:t xml:space="preserve">重庆龙兴超级工厂</w:t>
      </w:r>
      <w:r>
        <w:t xml:space="preserve"> </w:t>
      </w:r>
      <w:r>
        <w:t xml:space="preserve">-</w:t>
      </w:r>
      <w:r>
        <w:t xml:space="preserve"> </w:t>
      </w:r>
      <w:r>
        <w:rPr>
          <w:bCs/>
          <w:b/>
        </w:rPr>
        <w:t xml:space="preserve">能力：</w:t>
      </w:r>
      <w:r>
        <w:t xml:space="preserve"> </w:t>
      </w:r>
      <w:r>
        <w:t xml:space="preserve">具备视觉识别与主动语音交互能力，覆盖B端工业与C端服务场景</w:t>
      </w:r>
      <w:r>
        <w:t xml:space="preserve"> </w:t>
      </w:r>
      <w:r>
        <w:t xml:space="preserve">-</w:t>
      </w:r>
      <w:r>
        <w:t xml:space="preserve"> </w:t>
      </w:r>
      <w:r>
        <w:rPr>
          <w:bCs/>
          <w:b/>
        </w:rPr>
        <w:t xml:space="preserve">信号解读：</w:t>
      </w:r>
      <w:r>
        <w:t xml:space="preserve"> </w:t>
      </w:r>
      <w:r>
        <w:t xml:space="preserve">汽车制造商正利用自身制造场景与供应链能力切入人形机器人，赛力斯加入特斯拉、小鹏、小米等车企跨界具身智能的行列</w:t>
      </w:r>
    </w:p>
    <w:p>
      <w:pPr>
        <w:pStyle w:val="BodyText"/>
      </w:pPr>
      <w:r>
        <w:rPr>
          <w:bCs/>
          <w:b/>
        </w:rPr>
        <w:t xml:space="preserve">智元机器人（Zhiyuan Robotics）全球首家线下体验店在上海开业</w:t>
      </w:r>
      <w:r>
        <w:t xml:space="preserve">（6月16日）</w:t>
      </w:r>
      <w:r>
        <w:t xml:space="preserve"> </w:t>
      </w:r>
      <w:r>
        <w:t xml:space="preserve">-</w:t>
      </w:r>
      <w:r>
        <w:t xml:space="preserve"> </w:t>
      </w:r>
      <w:r>
        <w:rPr>
          <w:bCs/>
          <w:b/>
        </w:rPr>
        <w:t xml:space="preserve">核心动作：</w:t>
      </w:r>
      <w:r>
        <w:t xml:space="preserve"> </w:t>
      </w:r>
      <w:r>
        <w:t xml:space="preserve">智元机器人首家全球线下门店正式落地上海，标志着人形机器人从线上营销/租赁进入线下体验零售阶段</w:t>
      </w:r>
      <w:r>
        <w:t xml:space="preserve"> </w:t>
      </w:r>
      <w:r>
        <w:t xml:space="preserve">-</w:t>
      </w:r>
      <w:r>
        <w:t xml:space="preserve"> </w:t>
      </w:r>
      <w:r>
        <w:rPr>
          <w:bCs/>
          <w:b/>
        </w:rPr>
        <w:t xml:space="preserve">市场反应：</w:t>
      </w:r>
      <w:r>
        <w:t xml:space="preserve"> </w:t>
      </w:r>
      <w:r>
        <w:t xml:space="preserve">华夏机器人ETF日内上涨0.62%，指数调仓后人形机器人权重超70%</w:t>
      </w:r>
      <w:r>
        <w:t xml:space="preserve"> </w:t>
      </w:r>
      <w:r>
        <w:t xml:space="preserve">-</w:t>
      </w:r>
      <w:r>
        <w:t xml:space="preserve"> </w:t>
      </w:r>
      <w:r>
        <w:rPr>
          <w:bCs/>
          <w:b/>
        </w:rPr>
        <w:t xml:space="preserve">信号解读：</w:t>
      </w:r>
      <w:r>
        <w:t xml:space="preserve"> </w:t>
      </w:r>
      <w:r>
        <w:t xml:space="preserve">与当年特斯拉在中国建体验店教育市场类似，人形机器人厂商开始通过线下触点降低消费者认知门槛，推动C端渗透</w:t>
      </w:r>
    </w:p>
    <w:p>
      <w:pPr>
        <w:pStyle w:val="BodyText"/>
      </w:pPr>
      <w:r>
        <w:rPr>
          <w:bCs/>
          <w:b/>
        </w:rPr>
        <w:t xml:space="preserve">松延动力（Songyan Dynamics）发布万元级消费机器人“小布米”</w:t>
      </w:r>
      <w:r>
        <w:t xml:space="preserve">（6月16日报道）</w:t>
      </w:r>
      <w:r>
        <w:t xml:space="preserve"> </w:t>
      </w:r>
      <w:r>
        <w:t xml:space="preserve">-</w:t>
      </w:r>
      <w:r>
        <w:t xml:space="preserve"> </w:t>
      </w:r>
      <w:r>
        <w:rPr>
          <w:bCs/>
          <w:b/>
        </w:rPr>
        <w:t xml:space="preserve">产品：</w:t>
      </w:r>
      <w:r>
        <w:t xml:space="preserve"> </w:t>
      </w:r>
      <w:r>
        <w:t xml:space="preserve">“</w:t>
      </w:r>
      <w:r>
        <w:t xml:space="preserve">小布米</w:t>
      </w:r>
      <w:r>
        <w:t xml:space="preserve">”</w:t>
      </w:r>
      <w:r>
        <w:t xml:space="preserve">（XiaoBumi）</w:t>
      </w:r>
      <w:r>
        <w:t xml:space="preserve"> </w:t>
      </w:r>
      <w:r>
        <w:t xml:space="preserve">-</w:t>
      </w:r>
      <w:r>
        <w:t xml:space="preserve"> </w:t>
      </w:r>
      <w:r>
        <w:rPr>
          <w:bCs/>
          <w:b/>
        </w:rPr>
        <w:t xml:space="preserve">价格：</w:t>
      </w:r>
      <w:r>
        <w:t xml:space="preserve"> </w:t>
      </w:r>
      <w:r>
        <w:t xml:space="preserve">9,998元人民币（约1,380美元），为全球首款万元级高性能消费人形机器人</w:t>
      </w:r>
      <w:r>
        <w:t xml:space="preserve"> </w:t>
      </w:r>
      <w:r>
        <w:t xml:space="preserve">-</w:t>
      </w:r>
      <w:r>
        <w:t xml:space="preserve"> </w:t>
      </w:r>
      <w:r>
        <w:rPr>
          <w:bCs/>
          <w:b/>
        </w:rPr>
        <w:t xml:space="preserve">参数：</w:t>
      </w:r>
      <w:r>
        <w:t xml:space="preserve"> </w:t>
      </w:r>
      <w:r>
        <w:t xml:space="preserve">身高98cm，体重17kg，21个自由度</w:t>
      </w:r>
      <w:r>
        <w:t xml:space="preserve"> </w:t>
      </w:r>
      <w:r>
        <w:t xml:space="preserve">-</w:t>
      </w:r>
      <w:r>
        <w:t xml:space="preserve"> </w:t>
      </w:r>
      <w:r>
        <w:rPr>
          <w:bCs/>
          <w:b/>
        </w:rPr>
        <w:t xml:space="preserve">生态：</w:t>
      </w:r>
      <w:r>
        <w:t xml:space="preserve"> </w:t>
      </w:r>
      <w:r>
        <w:t xml:space="preserve">与编程猫、喜马拉雅合作，定位为“AI启蒙老师”与“温暖的家庭智能伙伴”</w:t>
      </w:r>
      <w:r>
        <w:t xml:space="preserve"> </w:t>
      </w:r>
      <w:r>
        <w:t xml:space="preserve">-</w:t>
      </w:r>
      <w:r>
        <w:t xml:space="preserve"> </w:t>
      </w:r>
      <w:r>
        <w:rPr>
          <w:bCs/>
          <w:b/>
        </w:rPr>
        <w:t xml:space="preserve">背景：</w:t>
      </w:r>
      <w:r>
        <w:t xml:space="preserve"> </w:t>
      </w:r>
      <w:r>
        <w:t xml:space="preserve">松延动力成立于2023年9月，2026年3月完成近10亿元B轮融资（宁德时代旗下晨道资本领投）</w:t>
      </w:r>
      <w:r>
        <w:t xml:space="preserve"> </w:t>
      </w:r>
      <w:r>
        <w:t xml:space="preserve">-</w:t>
      </w:r>
      <w:r>
        <w:t xml:space="preserve"> </w:t>
      </w:r>
      <w:r>
        <w:rPr>
          <w:bCs/>
          <w:b/>
        </w:rPr>
        <w:t xml:space="preserve">信号解读：</w:t>
      </w:r>
      <w:r>
        <w:t xml:space="preserve"> </w:t>
      </w:r>
      <w:r>
        <w:t xml:space="preserve">消费级人形机器人价格下探至万元以内，将教育/陪伴场景作为首个规模化切口；成本控制能力（复合材料替代金属、100%国产零部件）成为关键竞争壁垒</w:t>
      </w:r>
    </w:p>
    <w:p>
      <w:pPr>
        <w:pStyle w:val="BodyText"/>
      </w:pPr>
      <w:r>
        <w:rPr>
          <w:bCs/>
          <w:b/>
        </w:rPr>
        <w:t xml:space="preserve">TARS在ICRA 2026发布DexHand灵巧手平台</w:t>
      </w:r>
      <w:r>
        <w:t xml:space="preserve">（6月1-5日会议，6月8-16日持续报道）</w:t>
      </w:r>
      <w:r>
        <w:t xml:space="preserve"> </w:t>
      </w:r>
      <w:r>
        <w:t xml:space="preserve">-</w:t>
      </w:r>
      <w:r>
        <w:t xml:space="preserve"> </w:t>
      </w:r>
      <w:r>
        <w:rPr>
          <w:bCs/>
          <w:b/>
        </w:rPr>
        <w:t xml:space="preserve">发布方：</w:t>
      </w:r>
      <w:r>
        <w:t xml:space="preserve"> </w:t>
      </w:r>
      <w:r>
        <w:t xml:space="preserve">TARS（它石智航）</w:t>
      </w:r>
      <w:r>
        <w:t xml:space="preserve"> </w:t>
      </w:r>
      <w:r>
        <w:t xml:space="preserve">-</w:t>
      </w:r>
      <w:r>
        <w:t xml:space="preserve"> </w:t>
      </w:r>
      <w:r>
        <w:rPr>
          <w:bCs/>
          <w:b/>
        </w:rPr>
        <w:t xml:space="preserve">产品：</w:t>
      </w:r>
      <w:r>
        <w:t xml:space="preserve"> </w:t>
      </w:r>
      <w:r>
        <w:t xml:space="preserve">DexHand — 21自由度仿生灵巧手</w:t>
      </w:r>
      <w:r>
        <w:t xml:space="preserve"> </w:t>
      </w:r>
      <w:r>
        <w:t xml:space="preserve">-</w:t>
      </w:r>
      <w:r>
        <w:t xml:space="preserve"> </w:t>
      </w:r>
      <w:r>
        <w:rPr>
          <w:bCs/>
          <w:b/>
        </w:rPr>
        <w:t xml:space="preserve">技术特点：</w:t>
      </w:r>
      <w:r>
        <w:t xml:space="preserve"> </w:t>
      </w:r>
      <w:r>
        <w:t xml:space="preserve">按人手掌骨/指骨1:1拓扑建模，消除运动盲区；指尖集成超高分辨率微型摄像头，可在240Hz以上帧率捕捉0.05mm级微观纹理；搭载AWE 3.0具身基础模型，可理解硬度、粗糙度、滑动风险等物理属性并预判事件</w:t>
      </w:r>
      <w:r>
        <w:t xml:space="preserve"> </w:t>
      </w:r>
      <w:r>
        <w:t xml:space="preserve">-</w:t>
      </w:r>
      <w:r>
        <w:t xml:space="preserve"> </w:t>
      </w:r>
      <w:r>
        <w:rPr>
          <w:bCs/>
          <w:b/>
        </w:rPr>
        <w:t xml:space="preserve">演示：</w:t>
      </w:r>
      <w:r>
        <w:t xml:space="preserve"> </w:t>
      </w:r>
      <w:r>
        <w:t xml:space="preserve">现场完成26个英文字母手语手势与实时镜像交互</w:t>
      </w:r>
      <w:r>
        <w:t xml:space="preserve"> </w:t>
      </w:r>
      <w:r>
        <w:t xml:space="preserve">-</w:t>
      </w:r>
      <w:r>
        <w:t xml:space="preserve"> </w:t>
      </w:r>
      <w:r>
        <w:rPr>
          <w:bCs/>
          <w:b/>
        </w:rPr>
        <w:t xml:space="preserve">背景：</w:t>
      </w:r>
      <w:r>
        <w:t xml:space="preserve"> </w:t>
      </w:r>
      <w:r>
        <w:t xml:space="preserve">TARS于2025年3月完成1.2亿美元天使轮融资（蓝驰创投、启明创投领投）</w:t>
      </w:r>
      <w:r>
        <w:t xml:space="preserve"> </w:t>
      </w:r>
      <w:r>
        <w:t xml:space="preserve">-</w:t>
      </w:r>
      <w:r>
        <w:t xml:space="preserve"> </w:t>
      </w:r>
      <w:r>
        <w:rPr>
          <w:bCs/>
          <w:b/>
        </w:rPr>
        <w:t xml:space="preserve">信号解读：</w:t>
      </w:r>
      <w:r>
        <w:t xml:space="preserve"> </w:t>
      </w:r>
      <w:r>
        <w:t xml:space="preserve">灵巧手与具身大脑的结合正成为Physical AI的核心瓶颈；TARS以“Human-centric数据对齐”为差异化路线，试图弥合仿真与现实鸿沟</w:t>
      </w:r>
    </w:p>
    <w:p>
      <w:pPr>
        <w:pStyle w:val="BodyText"/>
      </w:pPr>
      <w:r>
        <w:rPr>
          <w:bCs/>
          <w:b/>
        </w:rPr>
        <w:t xml:space="preserve">燧原科技（Enflame Technology）科创板IPO过会</w:t>
      </w:r>
      <w:r>
        <w:t xml:space="preserve">（6月15日上交所上市委审议通过）</w:t>
      </w:r>
      <w:r>
        <w:t xml:space="preserve"> </w:t>
      </w:r>
      <w:r>
        <w:t xml:space="preserve">-</w:t>
      </w:r>
      <w:r>
        <w:t xml:space="preserve"> </w:t>
      </w:r>
      <w:r>
        <w:rPr>
          <w:bCs/>
          <w:b/>
        </w:rPr>
        <w:t xml:space="preserve">拟募资：</w:t>
      </w:r>
      <w:r>
        <w:t xml:space="preserve"> </w:t>
      </w:r>
      <w:r>
        <w:t xml:space="preserve">约60亿元人民币（约8.3亿美元）</w:t>
      </w:r>
      <w:r>
        <w:t xml:space="preserve"> </w:t>
      </w:r>
      <w:r>
        <w:t xml:space="preserve">-</w:t>
      </w:r>
      <w:r>
        <w:t xml:space="preserve"> </w:t>
      </w:r>
      <w:r>
        <w:rPr>
          <w:bCs/>
          <w:b/>
        </w:rPr>
        <w:t xml:space="preserve">用途：</w:t>
      </w:r>
      <w:r>
        <w:t xml:space="preserve"> </w:t>
      </w:r>
      <w:r>
        <w:t xml:space="preserve">第五代、第六代AI芯片研发及产业化</w:t>
      </w:r>
      <w:r>
        <w:t xml:space="preserve"> </w:t>
      </w:r>
      <w:r>
        <w:t xml:space="preserve">-</w:t>
      </w:r>
      <w:r>
        <w:t xml:space="preserve"> </w:t>
      </w:r>
      <w:r>
        <w:rPr>
          <w:bCs/>
          <w:b/>
        </w:rPr>
        <w:t xml:space="preserve">财务：</w:t>
      </w:r>
      <w:r>
        <w:t xml:space="preserve"> </w:t>
      </w:r>
      <w:r>
        <w:t xml:space="preserve">2023-2025年营收复合增长率约81%，2025年营收9.9亿元，净亏损11.64亿元；2026年上半年预计营收10.6-11.5亿元，同比增长258%-289%</w:t>
      </w:r>
      <w:r>
        <w:t xml:space="preserve"> </w:t>
      </w:r>
      <w:r>
        <w:t xml:space="preserve">-</w:t>
      </w:r>
      <w:r>
        <w:t xml:space="preserve"> </w:t>
      </w:r>
      <w:r>
        <w:rPr>
          <w:bCs/>
          <w:b/>
        </w:rPr>
        <w:t xml:space="preserve">股东：</w:t>
      </w:r>
      <w:r>
        <w:t xml:space="preserve"> </w:t>
      </w:r>
      <w:r>
        <w:t xml:space="preserve">腾讯为最大股东（持股约20.26%）兼最大客户</w:t>
      </w:r>
      <w:r>
        <w:t xml:space="preserve"> </w:t>
      </w:r>
      <w:r>
        <w:t xml:space="preserve">-</w:t>
      </w:r>
      <w:r>
        <w:t xml:space="preserve"> </w:t>
      </w:r>
      <w:r>
        <w:rPr>
          <w:bCs/>
          <w:b/>
        </w:rPr>
        <w:t xml:space="preserve">信号解读：</w:t>
      </w:r>
      <w:r>
        <w:t xml:space="preserve"> </w:t>
      </w:r>
      <w:r>
        <w:t xml:space="preserve">燧原过会意味着中国“AI芯片四小龙”（燧原、摩尔线程、沐曦、壁仞）即将全部进入资本市场，国产算力替代从叙事进入交付阶段</w:t>
      </w:r>
    </w:p>
    <w:bookmarkEnd w:id="25"/>
    <w:bookmarkStart w:id="26" w:name="中优先级-1"/>
    <w:p>
      <w:pPr>
        <w:pStyle w:val="Heading3"/>
      </w:pPr>
      <w:r>
        <w:t xml:space="preserve">📌 中优先级</w:t>
      </w:r>
    </w:p>
    <w:p>
      <w:pPr>
        <w:numPr>
          <w:ilvl w:val="0"/>
          <w:numId w:val="1002"/>
        </w:numPr>
        <w:pStyle w:val="Compact"/>
      </w:pPr>
      <w:r>
        <w:rPr>
          <w:bCs/>
          <w:b/>
        </w:rPr>
        <w:t xml:space="preserve">微纳核芯（Weina Hexi）B3/B4轮融资延续催化：</w:t>
      </w:r>
      <w:r>
        <w:t xml:space="preserve"> </w:t>
      </w:r>
      <w:r>
        <w:t xml:space="preserve">6月16日市场继续交易其“三维存算一体AI芯片”超10亿元B轮消息，燧原过会带动科创板AI芯片板块情绪，半导体设备ETF与AI ETF出现明显资金流入</w:t>
      </w:r>
    </w:p>
    <w:bookmarkEnd w:id="26"/>
    <w:bookmarkStart w:id="27" w:name="观察-1"/>
    <w:p>
      <w:pPr>
        <w:pStyle w:val="Heading3"/>
      </w:pPr>
      <w:r>
        <w:t xml:space="preserve">💡 观察</w:t>
      </w:r>
    </w:p>
    <w:p>
      <w:pPr>
        <w:numPr>
          <w:ilvl w:val="0"/>
          <w:numId w:val="1003"/>
        </w:numPr>
        <w:pStyle w:val="Compact"/>
      </w:pPr>
      <w:r>
        <w:rPr>
          <w:bCs/>
          <w:b/>
        </w:rPr>
        <w:t xml:space="preserve">具身智能从“发布会”进入“真实场景训练”阶段：</w:t>
      </w:r>
      <w:r>
        <w:t xml:space="preserve"> </w:t>
      </w:r>
      <w:r>
        <w:t xml:space="preserve">MIIT/SASAC专项行动将“万台级部署”设为国家硬目标，意味着政策、资本、场景资源将向能够快速提供真实数据与规模化交付的企业倾斜</w:t>
      </w:r>
    </w:p>
    <w:p>
      <w:pPr>
        <w:numPr>
          <w:ilvl w:val="0"/>
          <w:numId w:val="1003"/>
        </w:numPr>
        <w:pStyle w:val="Compact"/>
      </w:pPr>
      <w:r>
        <w:rPr>
          <w:bCs/>
          <w:b/>
        </w:rPr>
        <w:t xml:space="preserve">车企成为人形机器人重要玩家：</w:t>
      </w:r>
      <w:r>
        <w:t xml:space="preserve"> </w:t>
      </w:r>
      <w:r>
        <w:t xml:space="preserve">赛力斯发布“小赛”、智元开设门店、松延推出万元消费机器人，显示人形机器人赛道正在分化：工业场景、服务场景、消费陪伴场景同步推进</w:t>
      </w:r>
    </w:p>
    <w:p>
      <w:pPr>
        <w:numPr>
          <w:ilvl w:val="0"/>
          <w:numId w:val="1003"/>
        </w:numPr>
        <w:pStyle w:val="Compact"/>
      </w:pPr>
      <w:r>
        <w:rPr>
          <w:bCs/>
          <w:b/>
        </w:rPr>
        <w:t xml:space="preserve">国产算力与端侧芯片并行升温：</w:t>
      </w:r>
      <w:r>
        <w:t xml:space="preserve"> </w:t>
      </w:r>
      <w:r>
        <w:t xml:space="preserve">燧原IPO与微纳核芯大额融资同一天催化，说明资本市场同时押注云端训练/推理国产化与端侧低功耗存算一体两条路径</w:t>
      </w:r>
    </w:p>
    <w:p>
      <w:r>
        <w:pict>
          <v:rect style="width:0;height:1.5pt" o:hralign="center" o:hrstd="t" o:hr="t"/>
        </w:pict>
      </w:r>
    </w:p>
    <w:bookmarkEnd w:id="27"/>
    <w:bookmarkEnd w:id="28"/>
    <w:bookmarkStart w:id="32" w:name="三web3-agentic-payment信号"/>
    <w:p>
      <w:pPr>
        <w:pStyle w:val="Heading2"/>
      </w:pPr>
      <w:r>
        <w:t xml:space="preserve">三、Web3 / Agentic Payment信号</w:t>
      </w:r>
    </w:p>
    <w:bookmarkStart w:id="29" w:name="高优先级-2"/>
    <w:p>
      <w:pPr>
        <w:pStyle w:val="Heading3"/>
      </w:pPr>
      <w:r>
        <w:t xml:space="preserve">🔥 高优先级</w:t>
      </w:r>
    </w:p>
    <w:p>
      <w:pPr>
        <w:pStyle w:val="FirstParagraph"/>
      </w:pPr>
      <w:r>
        <w:rPr>
          <w:bCs/>
          <w:b/>
        </w:rPr>
        <w:t xml:space="preserve">Agentic Payment基础设施：身份与授权层融资同日爆发</w:t>
      </w:r>
      <w:r>
        <w:t xml:space="preserve">（6月15-16日）</w:t>
      </w:r>
      <w:r>
        <w:t xml:space="preserve"> </w:t>
      </w:r>
      <w:r>
        <w:t xml:space="preserve">- 虽然NewCore与Arcade.dev本身不是支付公司，但它们解决的是Agent自动执行支付/操作前的“身份可信”与“授权可审计”问题；没有这两个层，Agentic Payment无法进入受监管企业与金融机构</w:t>
      </w:r>
      <w:r>
        <w:t xml:space="preserve"> </w:t>
      </w:r>
      <w:r>
        <w:t xml:space="preserve">-</w:t>
      </w:r>
      <w:r>
        <w:t xml:space="preserve"> </w:t>
      </w:r>
      <w:r>
        <w:rPr>
          <w:bCs/>
          <w:b/>
        </w:rPr>
        <w:t xml:space="preserve">对Agentic Payment的直接影响：</w:t>
      </w:r>
      <w:r>
        <w:t xml:space="preserve"> </w:t>
      </w:r>
      <w:r>
        <w:t xml:space="preserve">当前x402/MPP等协议解决“如何付”，NewCore/Arcade解决“谁有权付、付多少、如何审计”；两者结合才能支撑企业级Agent支出管理、机器对机器（M2M）支付与合规财库操作</w:t>
      </w:r>
    </w:p>
    <w:bookmarkEnd w:id="29"/>
    <w:bookmarkStart w:id="30" w:name="中优先级-2"/>
    <w:p>
      <w:pPr>
        <w:pStyle w:val="Heading3"/>
      </w:pPr>
      <w:r>
        <w:t xml:space="preserve">📌 中优先级</w:t>
      </w:r>
    </w:p>
    <w:p>
      <w:pPr>
        <w:pStyle w:val="FirstParagraph"/>
      </w:pPr>
      <w:r>
        <w:rPr>
          <w:bCs/>
          <w:b/>
        </w:rPr>
        <w:t xml:space="preserve">稳定币与RWA基础设施持续成熟</w:t>
      </w:r>
      <w:r>
        <w:t xml:space="preserve">（本窗口期内持续报道）</w:t>
      </w:r>
      <w:r>
        <w:t xml:space="preserve"> </w:t>
      </w:r>
      <w:r>
        <w:t xml:space="preserve">-</w:t>
      </w:r>
      <w:r>
        <w:t xml:space="preserve"> </w:t>
      </w:r>
      <w:r>
        <w:rPr>
          <w:bCs/>
          <w:b/>
        </w:rPr>
        <w:t xml:space="preserve">Circle储备资产三件套：</w:t>
      </w:r>
      <w:r>
        <w:t xml:space="preserve"> </w:t>
      </w:r>
      <w:r>
        <w:t xml:space="preserve">USDC（美元）、EURC（欧元）、cirBTC（比特币）形成统一的合规储备资产发行框架，均通过Circle Mint企业API发行，强化其作为受监管默认结算层的定位</w:t>
      </w:r>
      <w:r>
        <w:t xml:space="preserve"> </w:t>
      </w:r>
      <w:r>
        <w:t xml:space="preserve">-</w:t>
      </w:r>
      <w:r>
        <w:t xml:space="preserve"> </w:t>
      </w:r>
      <w:r>
        <w:rPr>
          <w:bCs/>
          <w:b/>
        </w:rPr>
        <w:t xml:space="preserve">AllUnity：</w:t>
      </w:r>
      <w:r>
        <w:t xml:space="preserve"> </w:t>
      </w:r>
      <w:r>
        <w:t xml:space="preserve">德国BaFin监管电子货币机构，EURAU已上线Stellar、BNB Smart Chain等多链，计划6月推出全球首个瑞典克朗稳定币SEKAU；其与德意志交易所Clearstream的合作将EURAU接入D7平台，支持机构级跨欧元结算</w:t>
      </w:r>
      <w:r>
        <w:t xml:space="preserve"> </w:t>
      </w:r>
      <w:r>
        <w:t xml:space="preserve">-</w:t>
      </w:r>
      <w:r>
        <w:t xml:space="preserve"> </w:t>
      </w:r>
      <w:r>
        <w:rPr>
          <w:bCs/>
          <w:b/>
        </w:rPr>
        <w:t xml:space="preserve">Canton Network机构RWA生态：</w:t>
      </w:r>
      <w:r>
        <w:t xml:space="preserve"> </w:t>
      </w:r>
      <w:r>
        <w:t xml:space="preserve">DTCC将在2026年上半年推出基于Canton的代币化美国国债MVP；JPMorgan计划将JPM Coin原生接入Canton；Broadridge DLR平台已在Canton上处理超8万亿美元月度回购量</w:t>
      </w:r>
      <w:r>
        <w:t xml:space="preserve"> </w:t>
      </w:r>
      <w:r>
        <w:t xml:space="preserve">-</w:t>
      </w:r>
      <w:r>
        <w:t xml:space="preserve"> </w:t>
      </w:r>
      <w:r>
        <w:rPr>
          <w:bCs/>
          <w:b/>
        </w:rPr>
        <w:t xml:space="preserve">RWA市场规模：</w:t>
      </w:r>
      <w:r>
        <w:t xml:space="preserve"> </w:t>
      </w:r>
      <w:r>
        <w:t xml:space="preserve">不计稳定币的链上RWA规模在2025年底已超360亿美元，2026年持续扩张；BlackRock BUIDL基金AUM约24.8亿美元，Franklin Templeton BENJI约8.23亿美元，Ondo USDY约21.4亿美元</w:t>
      </w:r>
    </w:p>
    <w:bookmarkEnd w:id="30"/>
    <w:bookmarkStart w:id="31" w:name="观察-2"/>
    <w:p>
      <w:pPr>
        <w:pStyle w:val="Heading3"/>
      </w:pPr>
      <w:r>
        <w:t xml:space="preserve">💡 观察</w:t>
      </w:r>
    </w:p>
    <w:p>
      <w:pPr>
        <w:numPr>
          <w:ilvl w:val="0"/>
          <w:numId w:val="1004"/>
        </w:numPr>
        <w:pStyle w:val="Compact"/>
      </w:pPr>
      <w:r>
        <w:rPr>
          <w:bCs/>
          <w:b/>
        </w:rPr>
        <w:t xml:space="preserve">Agentic Payment的竞争从协议标准扩展到“信任层”：</w:t>
      </w:r>
      <w:r>
        <w:t xml:space="preserve"> </w:t>
      </w:r>
      <w:r>
        <w:t xml:space="preserve">x402、MPP、UCP、ACP等协议竞争仍在继续，但企业真正需要的是“可审计、可撤销、合规”的Agent支付环境；身份、授权与稳定币结算层正在同步成熟</w:t>
      </w:r>
    </w:p>
    <w:p>
      <w:pPr>
        <w:numPr>
          <w:ilvl w:val="0"/>
          <w:numId w:val="1004"/>
        </w:numPr>
        <w:pStyle w:val="Compact"/>
      </w:pPr>
      <w:r>
        <w:rPr>
          <w:bCs/>
          <w:b/>
        </w:rPr>
        <w:t xml:space="preserve">稳定币正在从“加密原生场景”进入“传统金融基础设施改造”：</w:t>
      </w:r>
      <w:r>
        <w:t xml:space="preserve"> </w:t>
      </w:r>
      <w:r>
        <w:t xml:space="preserve">无论是Canton上的DTCC代币化国债、JPM Coin机构结算，还是AllUnity的欧元稳定币与德意志交易所集成，均显示稳定币/RWA正进入资本市场核心流程</w:t>
      </w:r>
    </w:p>
    <w:p>
      <w:pPr>
        <w:numPr>
          <w:ilvl w:val="0"/>
          <w:numId w:val="1004"/>
        </w:numPr>
        <w:pStyle w:val="Compact"/>
      </w:pPr>
      <w:r>
        <w:rPr>
          <w:bCs/>
          <w:b/>
        </w:rPr>
        <w:t xml:space="preserve">RWA代币化向“抵押品—交易—结算”实用层迁移：</w:t>
      </w:r>
      <w:r>
        <w:t xml:space="preserve"> </w:t>
      </w:r>
      <w:r>
        <w:t xml:space="preserve">早期RWA以代币化国债、黄金为主，现在正扩展到私有股权存托凭证、机构回购、跨境企业财库与Agent支付结算</w:t>
      </w:r>
    </w:p>
    <w:p>
      <w:r>
        <w:pict>
          <v:rect style="width:0;height:1.5pt" o:hralign="center" o:hrstd="t" o:hr="t"/>
        </w:pict>
      </w:r>
    </w:p>
    <w:bookmarkEnd w:id="31"/>
    <w:bookmarkEnd w:id="32"/>
    <w:bookmarkStart w:id="33" w:name="四众筹平台热门新品"/>
    <w:p>
      <w:pPr>
        <w:pStyle w:val="Heading2"/>
      </w:pPr>
      <w:r>
        <w:t xml:space="preserve">四、众筹平台热门新品</w:t>
      </w:r>
    </w:p>
    <w:p>
      <w:pPr>
        <w:pStyle w:val="BlockText"/>
      </w:pPr>
      <w:r>
        <w:t xml:space="preserve">本窗口期内自动化众筹跟踪脚本未能在规定时间内返回有效数据，以下项目基于Kickstarter/Indiegogo当前活跃项目手动整理，优先展示Technology / Hardware / Gadgets类别。</w:t>
      </w:r>
    </w:p>
    <w:tbl>
      <w:tblPr>
        <w:tblStyle w:val="Table"/>
        <w:tblW w:type="pct" w:w="5000"/>
        <w:tblLook w:firstRow="1" w:lastRow="0" w:firstColumn="0" w:lastColumn="0" w:noHBand="0" w:noVBand="0" w:val="0020"/>
        <w:jc w:val="start"/>
        <w:tblLayout w:type="fixed"/>
      </w:tblPr>
      <w:tblGrid>
        <w:gridCol w:w="833"/>
        <w:gridCol w:w="1389"/>
        <w:gridCol w:w="833"/>
        <w:gridCol w:w="1389"/>
        <w:gridCol w:w="833"/>
        <w:gridCol w:w="1806"/>
        <w:gridCol w:w="833"/>
      </w:tblGrid>
      <w:tr>
        <w:trPr>
          <w:tblHeader w:val="true"/>
        </w:trPr>
        <w:tc>
          <w:tcPr/>
          <w:p>
            <w:pPr>
              <w:pStyle w:val="Compact"/>
              <w:jc w:val="left"/>
            </w:pPr>
            <w:r>
              <w:t xml:space="preserve">排名</w:t>
            </w:r>
          </w:p>
        </w:tc>
        <w:tc>
          <w:tcPr/>
          <w:p>
            <w:pPr>
              <w:pStyle w:val="Compact"/>
              <w:jc w:val="left"/>
            </w:pPr>
            <w:r>
              <w:t xml:space="preserve">产品名称</w:t>
            </w:r>
          </w:p>
        </w:tc>
        <w:tc>
          <w:tcPr/>
          <w:p>
            <w:pPr>
              <w:pStyle w:val="Compact"/>
              <w:jc w:val="left"/>
            </w:pPr>
            <w:r>
              <w:t xml:space="preserve">平台</w:t>
            </w:r>
          </w:p>
        </w:tc>
        <w:tc>
          <w:tcPr/>
          <w:p>
            <w:pPr>
              <w:pStyle w:val="Compact"/>
              <w:jc w:val="left"/>
            </w:pPr>
            <w:r>
              <w:t xml:space="preserve">众筹金额</w:t>
            </w:r>
          </w:p>
        </w:tc>
        <w:tc>
          <w:tcPr/>
          <w:p>
            <w:pPr>
              <w:pStyle w:val="Compact"/>
              <w:jc w:val="left"/>
            </w:pPr>
            <w:r>
              <w:t xml:space="preserve">类别</w:t>
            </w:r>
          </w:p>
        </w:tc>
        <w:tc>
          <w:tcPr/>
          <w:p>
            <w:pPr>
              <w:pStyle w:val="Compact"/>
              <w:jc w:val="left"/>
            </w:pPr>
            <w:r>
              <w:t xml:space="preserve">创始人/团队</w:t>
            </w:r>
          </w:p>
        </w:tc>
        <w:tc>
          <w:tcPr/>
          <w:p>
            <w:pPr>
              <w:pStyle w:val="Compact"/>
              <w:jc w:val="left"/>
            </w:pPr>
            <w:r>
              <w:t xml:space="preserve">亮点</w:t>
            </w:r>
          </w:p>
        </w:tc>
      </w:tr>
      <w:tr>
        <w:tc>
          <w:tcPr/>
          <w:p>
            <w:pPr>
              <w:pStyle w:val="Compact"/>
              <w:jc w:val="left"/>
            </w:pPr>
            <w:r>
              <w:t xml:space="preserve">1</w:t>
            </w:r>
          </w:p>
        </w:tc>
        <w:tc>
          <w:tcPr/>
          <w:p>
            <w:pPr>
              <w:pStyle w:val="Compact"/>
              <w:jc w:val="left"/>
            </w:pPr>
            <w:r>
              <w:t xml:space="preserve">AEKE S1 Pro</w:t>
            </w:r>
          </w:p>
        </w:tc>
        <w:tc>
          <w:tcPr/>
          <w:p>
            <w:pPr>
              <w:pStyle w:val="Compact"/>
              <w:jc w:val="left"/>
            </w:pPr>
            <w:r>
              <w:t xml:space="preserve">Kickstarter</w:t>
            </w:r>
          </w:p>
        </w:tc>
        <w:tc>
          <w:tcPr/>
          <w:p>
            <w:pPr>
              <w:pStyle w:val="Compact"/>
              <w:jc w:val="left"/>
            </w:pPr>
            <w:r>
              <w:t xml:space="preserve">$4.9M+</w:t>
            </w:r>
          </w:p>
        </w:tc>
        <w:tc>
          <w:tcPr/>
          <w:p>
            <w:pPr>
              <w:pStyle w:val="Compact"/>
              <w:jc w:val="left"/>
            </w:pPr>
            <w:r>
              <w:t xml:space="preserve">Health &amp; Fitness</w:t>
            </w:r>
          </w:p>
        </w:tc>
        <w:tc>
          <w:tcPr/>
          <w:p>
            <w:pPr>
              <w:pStyle w:val="Compact"/>
              <w:jc w:val="left"/>
            </w:pPr>
            <w:r>
              <w:t xml:space="preserve">AEKE</w:t>
            </w:r>
          </w:p>
        </w:tc>
        <w:tc>
          <w:tcPr/>
          <w:p>
            <w:pPr>
              <w:pStyle w:val="Compact"/>
              <w:jc w:val="left"/>
            </w:pPr>
            <w:r>
              <w:t xml:space="preserve">220lbs数字阻力、42点骨骼AI追踪、零订阅费的家庭智能健身房</w:t>
            </w:r>
          </w:p>
        </w:tc>
      </w:tr>
      <w:tr>
        <w:tc>
          <w:tcPr/>
          <w:p>
            <w:pPr>
              <w:pStyle w:val="Compact"/>
              <w:jc w:val="left"/>
            </w:pPr>
            <w:r>
              <w:t xml:space="preserve">2</w:t>
            </w:r>
          </w:p>
        </w:tc>
        <w:tc>
          <w:tcPr/>
          <w:p>
            <w:pPr>
              <w:pStyle w:val="Compact"/>
              <w:jc w:val="left"/>
            </w:pPr>
            <w:r>
              <w:t xml:space="preserve">Gweike MCore</w:t>
            </w:r>
          </w:p>
        </w:tc>
        <w:tc>
          <w:tcPr/>
          <w:p>
            <w:pPr>
              <w:pStyle w:val="Compact"/>
              <w:jc w:val="left"/>
            </w:pPr>
            <w:r>
              <w:t xml:space="preserve">Kickstarter</w:t>
            </w:r>
          </w:p>
        </w:tc>
        <w:tc>
          <w:tcPr/>
          <w:p>
            <w:pPr>
              <w:pStyle w:val="Compact"/>
              <w:jc w:val="left"/>
            </w:pPr>
            <w:r>
              <w:t xml:space="preserve">$3.1M+</w:t>
            </w:r>
          </w:p>
        </w:tc>
        <w:tc>
          <w:tcPr/>
          <w:p>
            <w:pPr>
              <w:pStyle w:val="Compact"/>
              <w:jc w:val="left"/>
            </w:pPr>
            <w:r>
              <w:t xml:space="preserve">Maker Tools</w:t>
            </w:r>
          </w:p>
        </w:tc>
        <w:tc>
          <w:tcPr/>
          <w:p>
            <w:pPr>
              <w:pStyle w:val="Compact"/>
              <w:jc w:val="left"/>
            </w:pPr>
            <w:r>
              <w:t xml:space="preserve">Gweike Laser</w:t>
            </w:r>
          </w:p>
        </w:tc>
        <w:tc>
          <w:tcPr/>
          <w:p>
            <w:pPr>
              <w:pStyle w:val="Compact"/>
              <w:jc w:val="left"/>
            </w:pPr>
            <w:r>
              <w:t xml:space="preserve">400W光纤+80W CO₂双激光桌面切割机，支持金属与非金属</w:t>
            </w:r>
          </w:p>
        </w:tc>
      </w:tr>
      <w:tr>
        <w:tc>
          <w:tcPr/>
          <w:p>
            <w:pPr>
              <w:pStyle w:val="Compact"/>
              <w:jc w:val="left"/>
            </w:pPr>
            <w:r>
              <w:t xml:space="preserve">3</w:t>
            </w:r>
          </w:p>
        </w:tc>
        <w:tc>
          <w:tcPr/>
          <w:p>
            <w:pPr>
              <w:pStyle w:val="Compact"/>
              <w:jc w:val="left"/>
            </w:pPr>
            <w:r>
              <w:t xml:space="preserve">Pongbot Aura</w:t>
            </w:r>
          </w:p>
        </w:tc>
        <w:tc>
          <w:tcPr/>
          <w:p>
            <w:pPr>
              <w:pStyle w:val="Compact"/>
              <w:jc w:val="left"/>
            </w:pPr>
            <w:r>
              <w:t xml:space="preserve">Kickstarter</w:t>
            </w:r>
          </w:p>
        </w:tc>
        <w:tc>
          <w:tcPr/>
          <w:p>
            <w:pPr>
              <w:pStyle w:val="Compact"/>
              <w:jc w:val="left"/>
            </w:pPr>
            <w:r>
              <w:t xml:space="preserve">$2.8M+</w:t>
            </w:r>
          </w:p>
        </w:tc>
        <w:tc>
          <w:tcPr/>
          <w:p>
            <w:pPr>
              <w:pStyle w:val="Compact"/>
              <w:jc w:val="left"/>
            </w:pPr>
            <w:r>
              <w:t xml:space="preserve">Sports Innovation</w:t>
            </w:r>
          </w:p>
        </w:tc>
        <w:tc>
          <w:tcPr/>
          <w:p>
            <w:pPr>
              <w:pStyle w:val="Compact"/>
              <w:jc w:val="left"/>
            </w:pPr>
            <w:r>
              <w:t xml:space="preserve">Pongbot</w:t>
            </w:r>
          </w:p>
        </w:tc>
        <w:tc>
          <w:tcPr/>
          <w:p>
            <w:pPr>
              <w:pStyle w:val="Compact"/>
              <w:jc w:val="left"/>
            </w:pPr>
            <w:r>
              <w:t xml:space="preserve">AI多球类发球机，支持网球/匹克球/笼式网球，LLM语音控制与120fps动作分析</w:t>
            </w:r>
          </w:p>
        </w:tc>
      </w:tr>
      <w:tr>
        <w:tc>
          <w:tcPr/>
          <w:p>
            <w:pPr>
              <w:pStyle w:val="Compact"/>
              <w:jc w:val="left"/>
            </w:pPr>
            <w:r>
              <w:t xml:space="preserve">4</w:t>
            </w:r>
          </w:p>
        </w:tc>
        <w:tc>
          <w:tcPr/>
          <w:p>
            <w:pPr>
              <w:pStyle w:val="Compact"/>
              <w:jc w:val="left"/>
            </w:pPr>
            <w:r>
              <w:t xml:space="preserve">Cardputer Zero</w:t>
            </w:r>
          </w:p>
        </w:tc>
        <w:tc>
          <w:tcPr/>
          <w:p>
            <w:pPr>
              <w:pStyle w:val="Compact"/>
              <w:jc w:val="left"/>
            </w:pPr>
            <w:r>
              <w:t xml:space="preserve">Kickstarter</w:t>
            </w:r>
          </w:p>
        </w:tc>
        <w:tc>
          <w:tcPr/>
          <w:p>
            <w:pPr>
              <w:pStyle w:val="Compact"/>
              <w:jc w:val="left"/>
            </w:pPr>
            <w:r>
              <w:t xml:space="preserve">$1.6M+</w:t>
            </w:r>
          </w:p>
        </w:tc>
        <w:tc>
          <w:tcPr/>
          <w:p>
            <w:pPr>
              <w:pStyle w:val="Compact"/>
              <w:jc w:val="left"/>
            </w:pPr>
            <w:r>
              <w:t xml:space="preserve">Computer &amp; Productivity</w:t>
            </w:r>
          </w:p>
        </w:tc>
        <w:tc>
          <w:tcPr/>
          <w:p>
            <w:pPr>
              <w:pStyle w:val="Compact"/>
              <w:jc w:val="left"/>
            </w:pPr>
            <w:r>
              <w:t xml:space="preserve">M5Stack</w:t>
            </w:r>
          </w:p>
        </w:tc>
        <w:tc>
          <w:tcPr/>
          <w:p>
            <w:pPr>
              <w:pStyle w:val="Compact"/>
              <w:jc w:val="left"/>
            </w:pPr>
            <w:r>
              <w:t xml:space="preserve">信用卡大小Linux电脑，基于Raspberry Pi CM0，支持100+扩展模块</w:t>
            </w:r>
          </w:p>
        </w:tc>
      </w:tr>
      <w:tr>
        <w:tc>
          <w:tcPr/>
          <w:p>
            <w:pPr>
              <w:pStyle w:val="Compact"/>
              <w:jc w:val="left"/>
            </w:pPr>
            <w:r>
              <w:t xml:space="preserve">5</w:t>
            </w:r>
          </w:p>
        </w:tc>
        <w:tc>
          <w:tcPr/>
          <w:p>
            <w:pPr>
              <w:pStyle w:val="Compact"/>
              <w:jc w:val="left"/>
            </w:pPr>
            <w:r>
              <w:t xml:space="preserve">Gordix</w:t>
            </w:r>
          </w:p>
        </w:tc>
        <w:tc>
          <w:tcPr/>
          <w:p>
            <w:pPr>
              <w:pStyle w:val="Compact"/>
              <w:jc w:val="left"/>
            </w:pPr>
            <w:r>
              <w:t xml:space="preserve">Kickstarter</w:t>
            </w:r>
          </w:p>
        </w:tc>
        <w:tc>
          <w:tcPr/>
          <w:p>
            <w:pPr>
              <w:pStyle w:val="Compact"/>
              <w:jc w:val="left"/>
            </w:pPr>
            <w:r>
              <w:t xml:space="preserve">$1.6M+</w:t>
            </w:r>
          </w:p>
        </w:tc>
        <w:tc>
          <w:tcPr/>
          <w:p>
            <w:pPr>
              <w:pStyle w:val="Compact"/>
              <w:jc w:val="left"/>
            </w:pPr>
            <w:r>
              <w:t xml:space="preserve">Maker Tools</w:t>
            </w:r>
          </w:p>
        </w:tc>
        <w:tc>
          <w:tcPr/>
          <w:p>
            <w:pPr>
              <w:pStyle w:val="Compact"/>
              <w:jc w:val="left"/>
            </w:pPr>
            <w:r>
              <w:t xml:space="preserve">Muherz</w:t>
            </w:r>
          </w:p>
        </w:tc>
        <w:tc>
          <w:tcPr/>
          <w:p>
            <w:pPr>
              <w:pStyle w:val="Compact"/>
              <w:jc w:val="left"/>
            </w:pPr>
            <w:r>
              <w:t xml:space="preserve">无轨便携式三合一CNC（铣削/激光雕刻/绘图），3分钟快速部署</w:t>
            </w:r>
          </w:p>
        </w:tc>
      </w:tr>
      <w:tr>
        <w:tc>
          <w:tcPr/>
          <w:p>
            <w:pPr>
              <w:pStyle w:val="Compact"/>
              <w:jc w:val="left"/>
            </w:pPr>
            <w:r>
              <w:t xml:space="preserve">6</w:t>
            </w:r>
          </w:p>
        </w:tc>
        <w:tc>
          <w:tcPr/>
          <w:p>
            <w:pPr>
              <w:pStyle w:val="Compact"/>
              <w:jc w:val="left"/>
            </w:pPr>
            <w:r>
              <w:t xml:space="preserve">Maverick AI Glasses</w:t>
            </w:r>
          </w:p>
        </w:tc>
        <w:tc>
          <w:tcPr/>
          <w:p>
            <w:pPr>
              <w:pStyle w:val="Compact"/>
              <w:jc w:val="left"/>
            </w:pPr>
            <w:r>
              <w:t xml:space="preserve">Kickstarter (Late Pledge)</w:t>
            </w:r>
          </w:p>
        </w:tc>
        <w:tc>
          <w:tcPr/>
          <w:p>
            <w:pPr>
              <w:pStyle w:val="Compact"/>
              <w:jc w:val="left"/>
            </w:pPr>
            <w:r>
              <w:t xml:space="preserve">$1.4M+</w:t>
            </w:r>
          </w:p>
        </w:tc>
        <w:tc>
          <w:tcPr/>
          <w:p>
            <w:pPr>
              <w:pStyle w:val="Compact"/>
              <w:jc w:val="left"/>
            </w:pPr>
            <w:r>
              <w:t xml:space="preserve">Wearables</w:t>
            </w:r>
          </w:p>
        </w:tc>
        <w:tc>
          <w:tcPr/>
          <w:p>
            <w:pPr>
              <w:pStyle w:val="Compact"/>
              <w:jc w:val="left"/>
            </w:pPr>
            <w:r>
              <w:t xml:space="preserve">Everysight</w:t>
            </w:r>
          </w:p>
        </w:tc>
        <w:tc>
          <w:tcPr/>
          <w:p>
            <w:pPr>
              <w:pStyle w:val="Compact"/>
              <w:jc w:val="left"/>
            </w:pPr>
            <w:r>
              <w:t xml:space="preserve">47g轻量AR眼镜，5000 nits OLED显示，AI相机实时翻译/物体识别，8小时续航</w:t>
            </w:r>
          </w:p>
        </w:tc>
      </w:tr>
      <w:tr>
        <w:tc>
          <w:tcPr/>
          <w:p>
            <w:pPr>
              <w:pStyle w:val="Compact"/>
              <w:jc w:val="left"/>
            </w:pPr>
            <w:r>
              <w:t xml:space="preserve">7</w:t>
            </w:r>
          </w:p>
        </w:tc>
        <w:tc>
          <w:tcPr/>
          <w:p>
            <w:pPr>
              <w:pStyle w:val="Compact"/>
              <w:jc w:val="left"/>
            </w:pPr>
            <w:r>
              <w:t xml:space="preserve">xLean TR1</w:t>
            </w:r>
          </w:p>
        </w:tc>
        <w:tc>
          <w:tcPr/>
          <w:p>
            <w:pPr>
              <w:pStyle w:val="Compact"/>
              <w:jc w:val="left"/>
            </w:pPr>
            <w:r>
              <w:t xml:space="preserve">Kickstarter</w:t>
            </w:r>
          </w:p>
        </w:tc>
        <w:tc>
          <w:tcPr/>
          <w:p>
            <w:pPr>
              <w:pStyle w:val="Compact"/>
              <w:jc w:val="left"/>
            </w:pPr>
            <w:r>
              <w:t xml:space="preserve">$1.4M+</w:t>
            </w:r>
          </w:p>
        </w:tc>
        <w:tc>
          <w:tcPr/>
          <w:p>
            <w:pPr>
              <w:pStyle w:val="Compact"/>
              <w:jc w:val="left"/>
            </w:pPr>
            <w:r>
              <w:t xml:space="preserve">Lifestyle &amp; Home</w:t>
            </w:r>
          </w:p>
        </w:tc>
        <w:tc>
          <w:tcPr/>
          <w:p>
            <w:pPr>
              <w:pStyle w:val="Compact"/>
              <w:jc w:val="left"/>
            </w:pPr>
            <w:r>
              <w:t xml:space="preserve">xLean</w:t>
            </w:r>
          </w:p>
        </w:tc>
        <w:tc>
          <w:tcPr/>
          <w:p>
            <w:pPr>
              <w:pStyle w:val="Compact"/>
              <w:jc w:val="left"/>
            </w:pPr>
            <w:r>
              <w:t xml:space="preserve">双形态洗地机器人，可切换自主机器人与手持洗地模式，支持热水洗地</w:t>
            </w:r>
          </w:p>
        </w:tc>
      </w:tr>
      <w:tr>
        <w:tc>
          <w:tcPr/>
          <w:p>
            <w:pPr>
              <w:pStyle w:val="Compact"/>
              <w:jc w:val="left"/>
            </w:pPr>
            <w:r>
              <w:t xml:space="preserve">8</w:t>
            </w:r>
          </w:p>
        </w:tc>
        <w:tc>
          <w:tcPr/>
          <w:p>
            <w:pPr>
              <w:pStyle w:val="Compact"/>
              <w:jc w:val="left"/>
            </w:pPr>
            <w:r>
              <w:t xml:space="preserve">Cubie</w:t>
            </w:r>
          </w:p>
        </w:tc>
        <w:tc>
          <w:tcPr/>
          <w:p>
            <w:pPr>
              <w:pStyle w:val="Compact"/>
              <w:jc w:val="left"/>
            </w:pPr>
            <w:r>
              <w:t xml:space="preserve">Kickstarter (Late Pledge)</w:t>
            </w:r>
          </w:p>
        </w:tc>
        <w:tc>
          <w:tcPr/>
          <w:p>
            <w:pPr>
              <w:pStyle w:val="Compact"/>
              <w:jc w:val="left"/>
            </w:pPr>
            <w:r>
              <w:t xml:space="preserve">$819K+</w:t>
            </w:r>
          </w:p>
        </w:tc>
        <w:tc>
          <w:tcPr/>
          <w:p>
            <w:pPr>
              <w:pStyle w:val="Compact"/>
              <w:jc w:val="left"/>
            </w:pPr>
            <w:r>
              <w:t xml:space="preserve">Tech &amp; Electronics</w:t>
            </w:r>
          </w:p>
        </w:tc>
        <w:tc>
          <w:tcPr/>
          <w:p>
            <w:pPr>
              <w:pStyle w:val="Compact"/>
              <w:jc w:val="left"/>
            </w:pPr>
            <w:r>
              <w:t xml:space="preserve">EgoScience</w:t>
            </w:r>
          </w:p>
        </w:tc>
        <w:tc>
          <w:tcPr/>
          <w:p>
            <w:pPr>
              <w:pStyle w:val="Compact"/>
              <w:jc w:val="left"/>
            </w:pPr>
            <w:r>
              <w:t xml:space="preserve">搭载本地LLM的AI桌面机器人，支持离线运行与多Cubie交互</w:t>
            </w:r>
          </w:p>
        </w:tc>
      </w:tr>
    </w:tbl>
    <w:p>
      <w:pPr>
        <w:pStyle w:val="BodyText"/>
      </w:pPr>
      <w:r>
        <w:rPr>
          <w:iCs/>
          <w:i/>
        </w:rPr>
        <w:t xml:space="preserve">完整跟踪表格：</w:t>
      </w:r>
      <w:r>
        <w:rPr>
          <w:rStyle w:val="VerbatimChar"/>
          <w:iCs/>
          <w:i/>
        </w:rPr>
        <w:t xml:space="preserve">https://github.com/DZH123553/Knowledge-Base/tree/main/众筹跟踪</w:t>
      </w:r>
    </w:p>
    <w:p>
      <w:r>
        <w:pict>
          <v:rect style="width:0;height:1.5pt" o:hralign="center" o:hrstd="t" o:hr="t"/>
        </w:pict>
      </w:r>
    </w:p>
    <w:bookmarkEnd w:id="33"/>
    <w:bookmarkStart w:id="34" w:name="五一级市场风向标"/>
    <w:p>
      <w:pPr>
        <w:pStyle w:val="Heading2"/>
      </w:pPr>
      <w:r>
        <w:t xml:space="preserve">五、一级市场风向标</w:t>
      </w:r>
    </w:p>
    <w:p>
      <w:pPr>
        <w:pStyle w:val="FirstParagraph"/>
      </w:pPr>
      <w:r>
        <w:rPr>
          <w:bCs/>
          <w:b/>
        </w:rPr>
        <w:t xml:space="preserve">SpaceX以600亿美元收购AI编程平台Cursor</w:t>
      </w:r>
      <w:r>
        <w:t xml:space="preserve">（6月16日）</w:t>
      </w:r>
      <w:r>
        <w:t xml:space="preserve"> </w:t>
      </w:r>
      <w:r>
        <w:t xml:space="preserve">- SpaceX宣布收购Anysphere（Cursor母公司），对价600亿美元，预计第三季度完成交易，尚待监管批准</w:t>
      </w:r>
      <w:r>
        <w:t xml:space="preserve"> </w:t>
      </w:r>
      <w:r>
        <w:t xml:space="preserve">- Cursor将保持为SpaceX子公司；SpaceXAI已与Cursor联合训练模型，未来将集成至Cursor与Grok Build</w:t>
      </w:r>
      <w:r>
        <w:t xml:space="preserve"> </w:t>
      </w:r>
      <w:r>
        <w:t xml:space="preserve">- 背景：SpaceX于6月12日以1.75万亿美元估值完成史上最大IPO；Cursor是过去两年增长最快的AI编程工具之一，但底层模型高度依赖Anthropic/OpenAI</w:t>
      </w:r>
      <w:r>
        <w:t xml:space="preserve"> </w:t>
      </w:r>
      <w:r>
        <w:t xml:space="preserve">-</w:t>
      </w:r>
      <w:r>
        <w:t xml:space="preserve"> </w:t>
      </w:r>
      <w:r>
        <w:rPr>
          <w:bCs/>
          <w:b/>
        </w:rPr>
        <w:t xml:space="preserve">信号解读：</w:t>
      </w:r>
      <w:r>
        <w:t xml:space="preserve"> </w:t>
      </w:r>
      <w:r>
        <w:t xml:space="preserve">SpaceX通过收购Cursor补齐AI编程/知识工作短板，同时为xAI的Colossus超算创造大规模内部工作负载；这是“火箭+卫星+AI+社交” conglomerate 整合的又一落子</w:t>
      </w:r>
    </w:p>
    <w:p>
      <w:pPr>
        <w:pStyle w:val="BodyText"/>
      </w:pPr>
      <w:r>
        <w:rPr>
          <w:bCs/>
          <w:b/>
        </w:rPr>
        <w:t xml:space="preserve">G7峰会首次齐聚三大AI实验室CEO，推动自愿安全承诺</w:t>
      </w:r>
      <w:r>
        <w:t xml:space="preserve">（6月15-17日）</w:t>
      </w:r>
      <w:r>
        <w:t xml:space="preserve"> </w:t>
      </w:r>
      <w:r>
        <w:t xml:space="preserve">- OpenAI Sam Altman、Anthropic Dario Amodei、Google DeepMind Demis Hassabis共同出席法国埃维昂G7 AI工作午餐</w:t>
      </w:r>
      <w:r>
        <w:t xml:space="preserve"> </w:t>
      </w:r>
      <w:r>
        <w:t xml:space="preserve">- 议程：AI安全测试自愿承诺、未成年人网络保护、网络/生物领域前沿风险、出口管制国际协调框架</w:t>
      </w:r>
      <w:r>
        <w:t xml:space="preserve"> </w:t>
      </w:r>
      <w:r>
        <w:t xml:space="preserve">-</w:t>
      </w:r>
      <w:r>
        <w:t xml:space="preserve"> </w:t>
      </w:r>
      <w:r>
        <w:rPr>
          <w:bCs/>
          <w:b/>
        </w:rPr>
        <w:t xml:space="preserve">信号解读：</w:t>
      </w:r>
      <w:r>
        <w:t xml:space="preserve"> </w:t>
      </w:r>
      <w:r>
        <w:t xml:space="preserve">前沿AI监管正从国内单边措施（如美国商务部Fable 5禁令）走向多边协调；企业自愿承诺与强制性出口控制并行的双层治理框架正在形成</w:t>
      </w:r>
    </w:p>
    <w:p>
      <w:pPr>
        <w:pStyle w:val="BodyText"/>
      </w:pPr>
      <w:r>
        <w:rPr>
          <w:bCs/>
          <w:b/>
        </w:rPr>
        <w:t xml:space="preserve">Anthropic Fable 5 / Mythos 5出口管制进入第六天</w:t>
      </w:r>
      <w:r>
        <w:t xml:space="preserve">（6月12-17日）</w:t>
      </w:r>
      <w:r>
        <w:t xml:space="preserve"> </w:t>
      </w:r>
      <w:r>
        <w:t xml:space="preserve">- 美国商务部6月12日下发指令，要求Anthropic限制任何外国国民（包括在美外国员工）访问Fable 5与Mythos 5</w:t>
      </w:r>
      <w:r>
        <w:t xml:space="preserve"> </w:t>
      </w:r>
      <w:r>
        <w:t xml:space="preserve">- Anthropic因无法实时验证用户国籍，被迫全球下架两款模型；截至6月17日仍未恢复，商务部部长警告刑事与民事处罚</w:t>
      </w:r>
      <w:r>
        <w:t xml:space="preserve"> </w:t>
      </w:r>
      <w:r>
        <w:t xml:space="preserve">- G7峰会期间，加拿大总理Carney以Fable 5事件为例呼吁建立共同AI标准</w:t>
      </w:r>
      <w:r>
        <w:t xml:space="preserve"> </w:t>
      </w:r>
      <w:r>
        <w:t xml:space="preserve">-</w:t>
      </w:r>
      <w:r>
        <w:t xml:space="preserve"> </w:t>
      </w:r>
      <w:r>
        <w:rPr>
          <w:bCs/>
          <w:b/>
        </w:rPr>
        <w:t xml:space="preserve">信号解读：</w:t>
      </w:r>
      <w:r>
        <w:t xml:space="preserve"> </w:t>
      </w:r>
      <w:r>
        <w:t xml:space="preserve">前沿模型正成为国家间技术管制工具，模型可用性与地缘政治高度绑定；这对开源/开放权重模型（如智谱GLM-5.2、DeepSeek）构成替代性机会，也加剧全球AI供应链分裂风险</w:t>
      </w:r>
    </w:p>
    <w:p>
      <w:pPr>
        <w:pStyle w:val="BodyText"/>
      </w:pPr>
      <w:r>
        <w:rPr>
          <w:bCs/>
          <w:b/>
        </w:rPr>
        <w:t xml:space="preserve">DeepSeek与智谱同日催化国产大模型板块</w:t>
      </w:r>
      <w:r>
        <w:t xml:space="preserve">（6月16日）</w:t>
      </w:r>
      <w:r>
        <w:t xml:space="preserve"> </w:t>
      </w:r>
      <w:r>
        <w:t xml:space="preserve">- DeepSeek 500亿美元估值融资、智谱GLM-5.2开放与股价两日涨超35%，共同推动市场对国产基础模型资产的重新定价</w:t>
      </w:r>
      <w:r>
        <w:t xml:space="preserve"> </w:t>
      </w:r>
      <w:r>
        <w:t xml:space="preserve">- 截至6月16日，智谱港股市值约6,500亿港元，MiniMax约1,300亿港元；未上市的月之暗面估值约300亿美元</w:t>
      </w:r>
    </w:p>
    <w:p>
      <w:r>
        <w:pict>
          <v:rect style="width:0;height:1.5pt" o:hralign="center" o:hrstd="t" o:hr="t"/>
        </w:pict>
      </w:r>
    </w:p>
    <w:bookmarkEnd w:id="34"/>
    <w:bookmarkStart w:id="35" w:name="六今日值得跟踪的早期项目seed-pre-a-a轮"/>
    <w:p>
      <w:pPr>
        <w:pStyle w:val="Heading2"/>
      </w:pPr>
      <w:r>
        <w:t xml:space="preserve">六、今日值得跟踪的早期项目（Seed / Pre-A / A轮）</w:t>
      </w:r>
    </w:p>
    <w:tbl>
      <w:tblPr>
        <w:tblStyle w:val="Table"/>
        <w:tblW w:type="pct" w:w="5000"/>
        <w:tblLook w:firstRow="1" w:lastRow="0" w:firstColumn="0" w:lastColumn="0" w:noHBand="0" w:noVBand="0" w:val="0020"/>
        <w:jc w:val="start"/>
        <w:tblLayout w:type="fixed"/>
      </w:tblPr>
      <w:tblGrid>
        <w:gridCol w:w="1105"/>
        <w:gridCol w:w="1105"/>
        <w:gridCol w:w="1105"/>
        <w:gridCol w:w="1105"/>
        <w:gridCol w:w="1473"/>
        <w:gridCol w:w="2026"/>
      </w:tblGrid>
      <w:tr>
        <w:trPr>
          <w:tblHeader w:val="true"/>
        </w:trPr>
        <w:tc>
          <w:tcPr/>
          <w:p>
            <w:pPr>
              <w:pStyle w:val="Compact"/>
              <w:jc w:val="left"/>
            </w:pPr>
            <w:r>
              <w:t xml:space="preserve">公司</w:t>
            </w:r>
          </w:p>
        </w:tc>
        <w:tc>
          <w:tcPr/>
          <w:p>
            <w:pPr>
              <w:pStyle w:val="Compact"/>
              <w:jc w:val="left"/>
            </w:pPr>
            <w:r>
              <w:t xml:space="preserve">领域</w:t>
            </w:r>
          </w:p>
        </w:tc>
        <w:tc>
          <w:tcPr/>
          <w:p>
            <w:pPr>
              <w:pStyle w:val="Compact"/>
              <w:jc w:val="left"/>
            </w:pPr>
            <w:r>
              <w:t xml:space="preserve">轮次</w:t>
            </w:r>
          </w:p>
        </w:tc>
        <w:tc>
          <w:tcPr/>
          <w:p>
            <w:pPr>
              <w:pStyle w:val="Compact"/>
              <w:jc w:val="left"/>
            </w:pPr>
            <w:r>
              <w:t xml:space="preserve">金额</w:t>
            </w:r>
          </w:p>
        </w:tc>
        <w:tc>
          <w:tcPr/>
          <w:p>
            <w:pPr>
              <w:pStyle w:val="Compact"/>
              <w:jc w:val="left"/>
            </w:pPr>
            <w:r>
              <w:t xml:space="preserve">领投方</w:t>
            </w:r>
          </w:p>
        </w:tc>
        <w:tc>
          <w:tcPr/>
          <w:p>
            <w:pPr>
              <w:pStyle w:val="Compact"/>
              <w:jc w:val="left"/>
            </w:pPr>
            <w:r>
              <w:t xml:space="preserve">背景与功能</w:t>
            </w:r>
          </w:p>
        </w:tc>
      </w:tr>
      <w:tr>
        <w:tc>
          <w:tcPr/>
          <w:p>
            <w:pPr>
              <w:pStyle w:val="Compact"/>
              <w:jc w:val="left"/>
            </w:pPr>
            <w:r>
              <w:t xml:space="preserve">林俊旸新AI实验室</w:t>
            </w:r>
          </w:p>
        </w:tc>
        <w:tc>
          <w:tcPr/>
          <w:p>
            <w:pPr>
              <w:pStyle w:val="Compact"/>
              <w:jc w:val="left"/>
            </w:pPr>
            <w:r>
              <w:t xml:space="preserve">基础大模型</w:t>
            </w:r>
          </w:p>
        </w:tc>
        <w:tc>
          <w:tcPr/>
          <w:p>
            <w:pPr>
              <w:pStyle w:val="Compact"/>
              <w:jc w:val="left"/>
            </w:pPr>
            <w:r>
              <w:t xml:space="preserve">首轮融资</w:t>
            </w:r>
          </w:p>
        </w:tc>
        <w:tc>
          <w:tcPr/>
          <w:p>
            <w:pPr>
              <w:pStyle w:val="Compact"/>
              <w:jc w:val="left"/>
            </w:pPr>
            <w:r>
              <w:t xml:space="preserve">约2亿美元</w:t>
            </w:r>
          </w:p>
        </w:tc>
        <w:tc>
          <w:tcPr/>
          <w:p>
            <w:pPr>
              <w:pStyle w:val="Compact"/>
              <w:jc w:val="left"/>
            </w:pPr>
            <w:r>
              <w:t xml:space="preserve">高榕资本、红杉中国</w:t>
            </w:r>
          </w:p>
        </w:tc>
        <w:tc>
          <w:tcPr/>
          <w:p>
            <w:pPr>
              <w:pStyle w:val="Compact"/>
              <w:jc w:val="left"/>
            </w:pPr>
            <w:r>
              <w:t xml:space="preserve">前阿里通义负责人创立，首轮融资估值20亿美元，高榕与红杉各投约1亿美元</w:t>
            </w:r>
          </w:p>
        </w:tc>
      </w:tr>
      <w:tr>
        <w:tc>
          <w:tcPr/>
          <w:p>
            <w:pPr>
              <w:pStyle w:val="Compact"/>
              <w:jc w:val="left"/>
            </w:pPr>
            <w:r>
              <w:t xml:space="preserve">NewCore</w:t>
            </w:r>
          </w:p>
        </w:tc>
        <w:tc>
          <w:tcPr/>
          <w:p>
            <w:pPr>
              <w:pStyle w:val="Compact"/>
              <w:jc w:val="left"/>
            </w:pPr>
            <w:r>
              <w:t xml:space="preserve">AI Agent身份治理</w:t>
            </w:r>
          </w:p>
        </w:tc>
        <w:tc>
          <w:tcPr/>
          <w:p>
            <w:pPr>
              <w:pStyle w:val="Compact"/>
              <w:jc w:val="left"/>
            </w:pPr>
            <w:r>
              <w:t xml:space="preserve">种子轮</w:t>
            </w:r>
          </w:p>
        </w:tc>
        <w:tc>
          <w:tcPr/>
          <w:p>
            <w:pPr>
              <w:pStyle w:val="Compact"/>
              <w:jc w:val="left"/>
            </w:pPr>
            <w:r>
              <w:t xml:space="preserve">6,600万美元</w:t>
            </w:r>
          </w:p>
        </w:tc>
        <w:tc>
          <w:tcPr/>
          <w:p>
            <w:pPr>
              <w:pStyle w:val="Compact"/>
              <w:jc w:val="left"/>
            </w:pPr>
            <w:r>
              <w:t xml:space="preserve">Cyberstarts</w:t>
            </w:r>
          </w:p>
        </w:tc>
        <w:tc>
          <w:tcPr/>
          <w:p>
            <w:pPr>
              <w:pStyle w:val="Compact"/>
              <w:jc w:val="left"/>
            </w:pPr>
            <w:r>
              <w:t xml:space="preserve">为AI Agent提供一等身份、任务级授权、生命周期管理与审计</w:t>
            </w:r>
          </w:p>
        </w:tc>
      </w:tr>
      <w:tr>
        <w:tc>
          <w:tcPr/>
          <w:p>
            <w:pPr>
              <w:pStyle w:val="Compact"/>
              <w:jc w:val="left"/>
            </w:pPr>
            <w:r>
              <w:t xml:space="preserve">Arcade.dev</w:t>
            </w:r>
          </w:p>
        </w:tc>
        <w:tc>
          <w:tcPr/>
          <w:p>
            <w:pPr>
              <w:pStyle w:val="Compact"/>
              <w:jc w:val="left"/>
            </w:pPr>
            <w:r>
              <w:t xml:space="preserve">AI Agent授权层</w:t>
            </w:r>
          </w:p>
        </w:tc>
        <w:tc>
          <w:tcPr/>
          <w:p>
            <w:pPr>
              <w:pStyle w:val="Compact"/>
              <w:jc w:val="left"/>
            </w:pPr>
            <w:r>
              <w:t xml:space="preserve">Series A</w:t>
            </w:r>
          </w:p>
        </w:tc>
        <w:tc>
          <w:tcPr/>
          <w:p>
            <w:pPr>
              <w:pStyle w:val="Compact"/>
              <w:jc w:val="left"/>
            </w:pPr>
            <w:r>
              <w:t xml:space="preserve">6,000万美元</w:t>
            </w:r>
          </w:p>
        </w:tc>
        <w:tc>
          <w:tcPr/>
          <w:p>
            <w:pPr>
              <w:pStyle w:val="Compact"/>
              <w:jc w:val="left"/>
            </w:pPr>
            <w:r>
              <w:t xml:space="preserve">SYN Ventures</w:t>
            </w:r>
          </w:p>
        </w:tc>
        <w:tc>
          <w:tcPr/>
          <w:p>
            <w:pPr>
              <w:pStyle w:val="Compact"/>
              <w:jc w:val="left"/>
            </w:pPr>
            <w:r>
              <w:t xml:space="preserve">企业Agent安全动作层，决定Agent是否有权访问应用/数据库/工作流</w:t>
            </w:r>
          </w:p>
        </w:tc>
      </w:tr>
      <w:tr>
        <w:tc>
          <w:tcPr/>
          <w:p>
            <w:pPr>
              <w:pStyle w:val="Compact"/>
              <w:jc w:val="left"/>
            </w:pPr>
            <w:r>
              <w:t xml:space="preserve">Uncovr</w:t>
            </w:r>
          </w:p>
        </w:tc>
        <w:tc>
          <w:tcPr/>
          <w:p>
            <w:pPr>
              <w:pStyle w:val="Compact"/>
              <w:jc w:val="left"/>
            </w:pPr>
            <w:r>
              <w:t xml:space="preserve">AI医疗文档</w:t>
            </w:r>
          </w:p>
        </w:tc>
        <w:tc>
          <w:tcPr/>
          <w:p>
            <w:pPr>
              <w:pStyle w:val="Compact"/>
              <w:jc w:val="left"/>
            </w:pPr>
            <w:r>
              <w:t xml:space="preserve">种子轮</w:t>
            </w:r>
          </w:p>
        </w:tc>
        <w:tc>
          <w:tcPr/>
          <w:p>
            <w:pPr>
              <w:pStyle w:val="Compact"/>
              <w:jc w:val="left"/>
            </w:pPr>
            <w:r>
              <w:t xml:space="preserve">700万美元</w:t>
            </w:r>
          </w:p>
        </w:tc>
        <w:tc>
          <w:tcPr/>
          <w:p>
            <w:pPr>
              <w:pStyle w:val="Compact"/>
              <w:jc w:val="left"/>
            </w:pPr>
            <w:r>
              <w:t xml:space="preserve">未披露</w:t>
            </w:r>
          </w:p>
        </w:tc>
        <w:tc>
          <w:tcPr/>
          <w:p>
            <w:pPr>
              <w:pStyle w:val="Compact"/>
              <w:jc w:val="left"/>
            </w:pPr>
            <w:r>
              <w:t xml:space="preserve">AI手术文档平台，自动化手术记录与临床文档工作流</w:t>
            </w:r>
          </w:p>
        </w:tc>
      </w:tr>
    </w:tbl>
    <w:p>
      <w:pPr>
        <w:pStyle w:val="BodyText"/>
      </w:pPr>
      <w:r>
        <w:rPr>
          <w:bCs/>
          <w:b/>
        </w:rPr>
        <w:t xml:space="preserve">投资主题观察：</w:t>
      </w:r>
      <w:r>
        <w:t xml:space="preserve"> </w:t>
      </w:r>
      <w:r>
        <w:t xml:space="preserve">-</w:t>
      </w:r>
      <w:r>
        <w:t xml:space="preserve"> </w:t>
      </w:r>
      <w:r>
        <w:rPr>
          <w:bCs/>
          <w:b/>
        </w:rPr>
        <w:t xml:space="preserve">Agent竞争进入“治理层”：</w:t>
      </w:r>
      <w:r>
        <w:t xml:space="preserve"> </w:t>
      </w:r>
      <w:r>
        <w:t xml:space="preserve">NewCore与Arcade.dev同日大额融资表明，企业Agent从Demo走向生产的关键瓶颈已从“模型能力”转向“身份、授权、审计与合规”</w:t>
      </w:r>
      <w:r>
        <w:t xml:space="preserve"> </w:t>
      </w:r>
      <w:r>
        <w:t xml:space="preserve">-</w:t>
      </w:r>
      <w:r>
        <w:t xml:space="preserve"> </w:t>
      </w:r>
      <w:r>
        <w:rPr>
          <w:bCs/>
          <w:b/>
        </w:rPr>
        <w:t xml:space="preserve">超级App Agent生态形成平台壁垒：</w:t>
      </w:r>
      <w:r>
        <w:t xml:space="preserve"> </w:t>
      </w:r>
      <w:r>
        <w:t xml:space="preserve">微信通过双授权与开发者可控接入，将14亿用户与数百万小程序转化为Agent生态护城河，模型能力可能被分发渠道稀释</w:t>
      </w:r>
      <w:r>
        <w:t xml:space="preserve"> </w:t>
      </w:r>
      <w:r>
        <w:t xml:space="preserve">-</w:t>
      </w:r>
      <w:r>
        <w:t xml:space="preserve"> </w:t>
      </w:r>
      <w:r>
        <w:rPr>
          <w:bCs/>
          <w:b/>
        </w:rPr>
        <w:t xml:space="preserve">具身智能进入“国家意志+真实场景训练”阶段：</w:t>
      </w:r>
      <w:r>
        <w:t xml:space="preserve"> </w:t>
      </w:r>
      <w:r>
        <w:t xml:space="preserve">MIIT/SASAC专项行动将万台级部署设为国家目标，真实场景数据与规模化交付能力成为核心壁垒</w:t>
      </w:r>
      <w:r>
        <w:t xml:space="preserve"> </w:t>
      </w:r>
      <w:r>
        <w:t xml:space="preserve">-</w:t>
      </w:r>
      <w:r>
        <w:t xml:space="preserve"> </w:t>
      </w:r>
      <w:r>
        <w:rPr>
          <w:bCs/>
          <w:b/>
        </w:rPr>
        <w:t xml:space="preserve">国产基础模型资产重定价：</w:t>
      </w:r>
      <w:r>
        <w:t xml:space="preserve"> </w:t>
      </w:r>
      <w:r>
        <w:t xml:space="preserve">DeepSeek 500亿美元估值与智谱股价大涨，标志着资本市场对国产顶尖模型从“技术故事”转向“国家战略资产”定价</w:t>
      </w:r>
    </w:p>
    <w:p>
      <w:r>
        <w:pict>
          <v:rect style="width:0;height:1.5pt" o:hralign="center" o:hrstd="t" o:hr="t"/>
        </w:pict>
      </w:r>
    </w:p>
    <w:bookmarkEnd w:id="35"/>
    <w:bookmarkStart w:id="36" w:name="七今日火花"/>
    <w:p>
      <w:pPr>
        <w:pStyle w:val="Heading2"/>
      </w:pPr>
      <w:r>
        <w:t xml:space="preserve">七、今日火花</w:t>
      </w:r>
    </w:p>
    <w:p>
      <w:pPr>
        <w:pStyle w:val="BlockText"/>
      </w:pPr>
      <w:r>
        <w:rPr>
          <w:bCs/>
          <w:b/>
        </w:rPr>
        <w:t xml:space="preserve">Spark #1 —</w:t>
      </w:r>
      <w:r>
        <w:rPr>
          <w:bCs/>
          <w:b/>
        </w:rPr>
        <w:t xml:space="preserve"> </w:t>
      </w:r>
      <w:r>
        <w:rPr>
          <w:bCs/>
          <w:b/>
        </w:rPr>
        <w:t xml:space="preserve">“</w:t>
      </w:r>
      <w:r>
        <w:rPr>
          <w:bCs/>
          <w:b/>
        </w:rPr>
        <w:t xml:space="preserve">Agent越聪明，越需要被治理</w:t>
      </w:r>
      <w:r>
        <w:rPr>
          <w:bCs/>
          <w:b/>
        </w:rPr>
        <w:t xml:space="preserve">”</w:t>
      </w:r>
      <w:r>
        <w:t xml:space="preserve"> </w:t>
      </w:r>
      <w:r>
        <w:t xml:space="preserve">NewCore与Arcade.dev合计1.26亿美元融资、微信双授权机制、G7峰会安全承诺，共同指向一个结论：Agent的下一层价值不在能力增强，而在可信执行。这与“让人越来越蠢，让Agent越来越聪明”的哲学一致——Agent能力越强，身份、授权、审计基础设施越关键。</w:t>
      </w:r>
    </w:p>
    <w:p>
      <w:pPr>
        <w:pStyle w:val="BlockText"/>
      </w:pPr>
      <w:r>
        <w:rPr>
          <w:bCs/>
          <w:b/>
        </w:rPr>
        <w:t xml:space="preserve">Spark #2 —</w:t>
      </w:r>
      <w:r>
        <w:rPr>
          <w:bCs/>
          <w:b/>
        </w:rPr>
        <w:t xml:space="preserve"> </w:t>
      </w:r>
      <w:r>
        <w:rPr>
          <w:bCs/>
          <w:b/>
        </w:rPr>
        <w:t xml:space="preserve">“</w:t>
      </w:r>
      <w:r>
        <w:rPr>
          <w:bCs/>
          <w:b/>
        </w:rPr>
        <w:t xml:space="preserve">超级App是Agent生态的守门人，而非操作系统</w:t>
      </w:r>
      <w:r>
        <w:rPr>
          <w:bCs/>
          <w:b/>
        </w:rPr>
        <w:t xml:space="preserve">”</w:t>
      </w:r>
      <w:r>
        <w:t xml:space="preserve"> </w:t>
      </w:r>
      <w:r>
        <w:t xml:space="preserve">微信没有选择让AI接管所有小程序，而是让开发者自己决定AI能访问什么；同时通过手机厂商A2A协议控制外部Agent入口。这表明Agent时代最重要的稀缺资源可能是“被信任的分发渠道”而非模型参数本身。</w:t>
      </w:r>
    </w:p>
    <w:p>
      <w:pPr>
        <w:pStyle w:val="BlockText"/>
      </w:pPr>
      <w:r>
        <w:rPr>
          <w:bCs/>
          <w:b/>
        </w:rPr>
        <w:t xml:space="preserve">Spark #3 —</w:t>
      </w:r>
      <w:r>
        <w:rPr>
          <w:bCs/>
          <w:b/>
        </w:rPr>
        <w:t xml:space="preserve"> </w:t>
      </w:r>
      <w:r>
        <w:rPr>
          <w:bCs/>
          <w:b/>
        </w:rPr>
        <w:t xml:space="preserve">“</w:t>
      </w:r>
      <w:r>
        <w:rPr>
          <w:bCs/>
          <w:b/>
        </w:rPr>
        <w:t xml:space="preserve">具身智能从‘秀肌肉’进入‘真实场景训练’的国家工程</w:t>
      </w:r>
      <w:r>
        <w:rPr>
          <w:bCs/>
          <w:b/>
        </w:rPr>
        <w:t xml:space="preserve">”</w:t>
      </w:r>
      <w:r>
        <w:t xml:space="preserve"> </w:t>
      </w:r>
      <w:r>
        <w:t xml:space="preserve">MIIT/SASAC专项行动将100个高价值场景与万台级部署写入国家目标，意味着具身智能竞争将从Demo能力转向真实数据获取、供应链交付与场景付费意愿。没有真实场景闭环的“人形本体”可能快速失去资本溢价。</w:t>
      </w:r>
    </w:p>
    <w:p>
      <w:pPr>
        <w:pStyle w:val="BlockText"/>
      </w:pPr>
      <w:r>
        <w:rPr>
          <w:bCs/>
          <w:b/>
        </w:rPr>
        <w:t xml:space="preserve">Spark #4 —</w:t>
      </w:r>
      <w:r>
        <w:rPr>
          <w:bCs/>
          <w:b/>
        </w:rPr>
        <w:t xml:space="preserve"> </w:t>
      </w:r>
      <w:r>
        <w:rPr>
          <w:bCs/>
          <w:b/>
        </w:rPr>
        <w:t xml:space="preserve">“</w:t>
      </w:r>
      <w:r>
        <w:rPr>
          <w:bCs/>
          <w:b/>
        </w:rPr>
        <w:t xml:space="preserve">前沿模型地缘政治化：Fable 5下架与GLM-5.2开源的镜像</w:t>
      </w:r>
      <w:r>
        <w:rPr>
          <w:bCs/>
          <w:b/>
        </w:rPr>
        <w:t xml:space="preserve">”</w:t>
      </w:r>
      <w:r>
        <w:t xml:space="preserve"> </w:t>
      </w:r>
      <w:r>
        <w:t xml:space="preserve">美国以出口管制方式让Anthropic最强模型全球下架，而智谱同日将GLM-5.2开放并即将MIT开源。两种路径——管制 vs 开放——正在重塑全球AI模型供给格局，开源/开放权重模型可能在地缘分裂中扮演更重要的基础设施角色。</w:t>
      </w:r>
    </w:p>
    <w:p>
      <w:r>
        <w:pict>
          <v:rect style="width:0;height:1.5pt" o:hralign="center" o:hrstd="t" o:hr="t"/>
        </w:pict>
      </w:r>
    </w:p>
    <w:bookmarkEnd w:id="36"/>
    <w:bookmarkStart w:id="40" w:name="附录"/>
    <w:p>
      <w:pPr>
        <w:pStyle w:val="Heading2"/>
      </w:pPr>
      <w:r>
        <w:t xml:space="preserve">附录</w:t>
      </w:r>
    </w:p>
    <w:bookmarkStart w:id="37" w:name="a.-信号去重说明"/>
    <w:p>
      <w:pPr>
        <w:pStyle w:val="Heading3"/>
      </w:pPr>
      <w:r>
        <w:t xml:space="preserve">A. 信号去重说明</w:t>
      </w:r>
    </w:p>
    <w:p>
      <w:pPr>
        <w:numPr>
          <w:ilvl w:val="0"/>
          <w:numId w:val="1005"/>
        </w:numPr>
        <w:pStyle w:val="Compact"/>
      </w:pPr>
      <w:r>
        <w:t xml:space="preserve">本报告已排除2026-06-15日报中已覆盖的主要信号（Ramp、Golden Analytics、世航智能、大晓机器人、LiberAI、Standard Bots、微纳核芯B3/B4轮、花旗数字存托凭证、Canton Network 3.55亿美元融资、AllUnity Agentic Payments等）。</w:t>
      </w:r>
    </w:p>
    <w:p>
      <w:pPr>
        <w:numPr>
          <w:ilvl w:val="0"/>
          <w:numId w:val="1005"/>
        </w:numPr>
        <w:pStyle w:val="Compact"/>
      </w:pPr>
      <w:r>
        <w:t xml:space="preserve">微纳核芯的融资催化在6月16日仍有市场延续，但已在昨日报告中作为高优先级信号详细覆盖，本报告仅在硬件观察中简要提及。</w:t>
      </w:r>
    </w:p>
    <w:p>
      <w:pPr>
        <w:numPr>
          <w:ilvl w:val="0"/>
          <w:numId w:val="1005"/>
        </w:numPr>
        <w:pStyle w:val="Compact"/>
      </w:pPr>
      <w:r>
        <w:t xml:space="preserve">SpaceX IPO本身已于6月12日完成并在6月15日报中覆盖，本报告聚焦6月16日新披露的SpaceX收购Cursor事件。</w:t>
      </w:r>
    </w:p>
    <w:bookmarkEnd w:id="37"/>
    <w:bookmarkStart w:id="38" w:name="b.-研究局限性"/>
    <w:p>
      <w:pPr>
        <w:pStyle w:val="Heading3"/>
      </w:pPr>
      <w:r>
        <w:t xml:space="preserve">B. 研究局限性</w:t>
      </w:r>
    </w:p>
    <w:p>
      <w:pPr>
        <w:numPr>
          <w:ilvl w:val="0"/>
          <w:numId w:val="1006"/>
        </w:numPr>
        <w:pStyle w:val="Compact"/>
      </w:pPr>
      <w:r>
        <w:t xml:space="preserve">本窗口期为2026-06-16 09:00至2026-06-17 09:00，部分海外信号存在时滞。</w:t>
      </w:r>
    </w:p>
    <w:p>
      <w:pPr>
        <w:numPr>
          <w:ilvl w:val="0"/>
          <w:numId w:val="1006"/>
        </w:numPr>
        <w:pStyle w:val="Compact"/>
      </w:pPr>
      <w:r>
        <w:t xml:space="preserve">众筹数据因自动化脚本未能在规定时间内返回有效结果，采用手动整理的活跃项目替代，可能存在时间偏差。</w:t>
      </w:r>
    </w:p>
    <w:p>
      <w:pPr>
        <w:numPr>
          <w:ilvl w:val="0"/>
          <w:numId w:val="1006"/>
        </w:numPr>
        <w:pStyle w:val="Compact"/>
      </w:pPr>
      <w:r>
        <w:t xml:space="preserve">部分项目融资金额未完全披露，以公开报道口径为准。</w:t>
      </w:r>
    </w:p>
    <w:bookmarkEnd w:id="38"/>
    <w:bookmarkStart w:id="39" w:name="c.-昨日核心信号回顾2026-06-15"/>
    <w:p>
      <w:pPr>
        <w:pStyle w:val="Heading3"/>
      </w:pPr>
      <w:r>
        <w:t xml:space="preserve">C. 昨日核心信号回顾（2026-06-15）</w:t>
      </w:r>
    </w:p>
    <w:p>
      <w:pPr>
        <w:numPr>
          <w:ilvl w:val="0"/>
          <w:numId w:val="1007"/>
        </w:numPr>
        <w:pStyle w:val="Compact"/>
      </w:pPr>
      <w:r>
        <w:t xml:space="preserve">Ramp 7.5亿美元F轮与AI Agent企业信用卡</w:t>
      </w:r>
    </w:p>
    <w:p>
      <w:pPr>
        <w:numPr>
          <w:ilvl w:val="0"/>
          <w:numId w:val="1007"/>
        </w:numPr>
        <w:pStyle w:val="Compact"/>
      </w:pPr>
      <w:r>
        <w:t xml:space="preserve">世航智能超10亿元A轮、大晓机器人天使+轮、LiberAI Pre-A轮</w:t>
      </w:r>
    </w:p>
    <w:p>
      <w:pPr>
        <w:numPr>
          <w:ilvl w:val="0"/>
          <w:numId w:val="1007"/>
        </w:numPr>
        <w:pStyle w:val="Compact"/>
      </w:pPr>
      <w:r>
        <w:t xml:space="preserve">花旗私有股权数字存托凭证、Canton Network 3.55亿美元融资</w:t>
      </w:r>
    </w:p>
    <w:p>
      <w:pPr>
        <w:numPr>
          <w:ilvl w:val="0"/>
          <w:numId w:val="1007"/>
        </w:numPr>
        <w:pStyle w:val="Compact"/>
      </w:pPr>
      <w:r>
        <w:t xml:space="preserve">Standard Bots 2亿美元C轮</w:t>
      </w:r>
    </w:p>
    <w:p>
      <w:r>
        <w:pict>
          <v:rect style="width:0;height:1.5pt" o:hralign="center" o:hrstd="t" o:hr="t"/>
        </w:pict>
      </w:r>
    </w:p>
    <w:p>
      <w:pPr>
        <w:pStyle w:val="FirstParagraph"/>
      </w:pPr>
      <w:r>
        <w:rPr>
          <w:iCs/>
          <w:i/>
        </w:rPr>
        <w:t xml:space="preserve">Report generated by Kimi Code CLI | VC Market Intelligence Skill</w:t>
      </w:r>
      <w:r>
        <w:br/>
      </w:r>
      <w:r>
        <w:rPr>
          <w:iCs/>
          <w:i/>
        </w:rPr>
        <w:t xml:space="preserve">Next report: 2026-06-18（周四） 09:00</w:t>
      </w:r>
    </w:p>
    <w:p>
      <w:pPr>
        <w:pStyle w:val="BodyText"/>
      </w:pPr>
      <w:r>
        <w:rPr>
          <w:iCs/>
          <w:i/>
        </w:rPr>
        <w:t xml:space="preserve">本日报由自主调研生成，不构成投资建议。</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2026-06-17T08:32:50Z</dcterms:created>
  <dcterms:modified xsi:type="dcterms:W3CDTF">2026-06-17T08:32:50Z</dcterms:modified>
</cp:coreProperties>
</file>

<file path=docProps/custom.xml><?xml version="1.0" encoding="utf-8"?>
<Properties xmlns="http://schemas.openxmlformats.org/officeDocument/2006/custom-properties" xmlns:vt="http://schemas.openxmlformats.org/officeDocument/2006/docPropsVTypes"/>
</file>