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一级市场-vc-日报-2026-06-08"/>
    <w:p>
      <w:pPr>
        <w:pStyle w:val="Heading1"/>
      </w:pPr>
      <w:r>
        <w:t xml:space="preserve">一级市场 VC 日报 | 2026-06-08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2026-06-08 (周日)</w:t>
      </w:r>
      <w:r>
        <w:br/>
      </w:r>
      <w:r>
        <w:rPr>
          <w:bCs/>
          <w:b/>
        </w:rPr>
        <w:t xml:space="preserve">Research Window:</w:t>
      </w:r>
      <w:r>
        <w:t xml:space="preserve"> </w:t>
      </w:r>
      <w:r>
        <w:t xml:space="preserve">2026-06-07 09:00 ~ 2026-06-08 09:00 (UTC+8)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t xml:space="preserve">TechStartups, 36氪, TechCrunch, The Information, Crunchbase, PitchBook, 公开披露</w:t>
      </w:r>
      <w:r>
        <w:br/>
      </w:r>
      <w:r>
        <w:rPr>
          <w:bCs/>
          <w:b/>
        </w:rPr>
        <w:t xml:space="preserve">Report Type:</w:t>
      </w:r>
      <w:r>
        <w:t xml:space="preserve"> </w:t>
      </w:r>
      <w:r>
        <w:t xml:space="preserve">Autonomous Daily Brief — AI Applications / Smart Hardware / Web3 Agentic Payment</w:t>
      </w:r>
    </w:p>
    <w:p>
      <w:r>
        <w:pict>
          <v:rect style="width:0;height:1.5pt" o:hralign="center" o:hrstd="t" o:hr="t"/>
        </w:pict>
      </w:r>
    </w:p>
    <w:bookmarkStart w:id="20" w:name="日报导读"/>
    <w:p>
      <w:pPr>
        <w:pStyle w:val="Heading2"/>
      </w:pPr>
      <w:r>
        <w:t xml:space="preserve">0. 日报导读</w:t>
      </w:r>
    </w:p>
    <w:p>
      <w:pPr>
        <w:pStyle w:val="FirstParagraph"/>
      </w:pPr>
      <w:r>
        <w:rPr>
          <w:bCs/>
          <w:b/>
        </w:rPr>
        <w:t xml:space="preserve">核心信号：</w:t>
      </w:r>
      <w:r>
        <w:t xml:space="preserve"> </w:t>
      </w:r>
      <w:r>
        <w:t xml:space="preserve">6月初全球VC市场呈现”基础设施为王”的清晰主线——企业AI应用（AlphaSense $350M/7.5B估值）、AI可观测性（Coralogix $200M）、垂直AI执行层（Lassie $35M a16z领投）接连落地大额融资；具身智能领域中国继续领跑（前4月融资超550亿元），机器人训练数据（Mecka AI $60M）成为新稀缺层；支付基础设施向合规稳定币加速收敛（Forage $40M福利支付、Paypercut €5M种子轮+稳定币通道）。</w:t>
      </w:r>
    </w:p>
    <w:p>
      <w:pPr>
        <w:pStyle w:val="BodyText"/>
      </w:pPr>
      <w:r>
        <w:rPr>
          <w:bCs/>
          <w:b/>
        </w:rPr>
        <w:t xml:space="preserve">今日 highlight：</w:t>
      </w:r>
      <w:r>
        <w:t xml:space="preserve"> </w:t>
      </w:r>
      <w:r>
        <w:t xml:space="preserve">豆包DAU突破2亿并即将启动付费订阅，标志着中国Super App级AI产品的商业化拐点已至。</w:t>
      </w:r>
    </w:p>
    <w:p>
      <w:r>
        <w:pict>
          <v:rect style="width:0;height:1.5pt" o:hralign="center" o:hrstd="t" o:hr="t"/>
        </w:pict>
      </w:r>
    </w:p>
    <w:bookmarkEnd w:id="20"/>
    <w:bookmarkStart w:id="23" w:name="ai-应用层"/>
    <w:p>
      <w:pPr>
        <w:pStyle w:val="Heading2"/>
      </w:pPr>
      <w:r>
        <w:t xml:space="preserve">1. AI 应用层</w:t>
      </w:r>
    </w:p>
    <w:bookmarkStart w:id="21" w:name="p0-信号"/>
    <w:p>
      <w:pPr>
        <w:pStyle w:val="Heading3"/>
      </w:pPr>
      <w:r>
        <w:t xml:space="preserve">P0 信号</w:t>
      </w:r>
    </w:p>
    <w:p>
      <w:pPr>
        <w:pStyle w:val="FirstParagraph"/>
      </w:pPr>
      <w:r>
        <w:rPr>
          <w:bCs/>
          <w:b/>
        </w:rPr>
        <w:t xml:space="preserve">AlphaSense 完成 $350M 融资，估值 $7.5B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轮次/金额：</w:t>
      </w:r>
      <w:r>
        <w:t xml:space="preserve"> </w:t>
      </w:r>
      <w:r>
        <w:t xml:space="preserve">增长轮 / $350M，累计融资超 $1B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Vitruvian Partners, Accenture Ventures, J.P. Morgan Asset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D. E. Shaw Ventures, CapitalG, Goldman Sachs Alternatives, Viking Global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Q1 2026 ARR 超 $600M（2025年10月为 $500M），覆盖5亿+商业文档，服务7,000+全球企业（含70%+标普500公司）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Accenture成为其首个战略渠道合作伙伴，将AlphaSense嵌入agentic企业工作流。验证了”通用模型越来越便宜，专有数据+工作流嵌入+领域分发越来越值钱”的投资主线。</w:t>
      </w:r>
    </w:p>
    <w:p>
      <w:pPr>
        <w:pStyle w:val="BodyText"/>
      </w:pPr>
      <w:r>
        <w:rPr>
          <w:bCs/>
          <w:b/>
        </w:rPr>
        <w:t xml:space="preserve">Coralogix 完成 $200M Series F，估值 $1.6B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Advent, CPP Investments, Greenfield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Brighton Park Capital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总融资达 $550M，服务5,000+客户，约30个客户年消费超$1M，过去一年收入增长60%+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AI代理从demo走向生产，可观测性（observability）正从”支持软件支出”升级为”核心软件支出”。11个月内连融E、F两轮，基础设施层的融资节奏在加快。</w:t>
      </w:r>
    </w:p>
    <w:p>
      <w:pPr>
        <w:pStyle w:val="BodyText"/>
      </w:pPr>
      <w:r>
        <w:rPr>
          <w:bCs/>
          <w:b/>
        </w:rPr>
        <w:t xml:space="preserve">Lassie 完成 $35M Series A，a16z 领投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累计融资：</w:t>
      </w:r>
      <w:r>
        <w:t xml:space="preserve"> </w:t>
      </w:r>
      <w:r>
        <w:t xml:space="preserve">$47M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Night Capital, Rahul Vohra, Zach Perret, Taavet Hinrikus, Gokul Rajaram, Brian Balfour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已覆盖700+医疗诊所、49个州，年化提供250,000+小时劳动力替代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垂直AI从” summarization &amp; drafting</w:t>
      </w:r>
      <w:r>
        <w:t xml:space="preserve"> </w:t>
      </w:r>
      <w:r>
        <w:t xml:space="preserve">“</w:t>
      </w:r>
      <w:r>
        <w:t xml:space="preserve">进入</w:t>
      </w:r>
      <w:r>
        <w:t xml:space="preserve">”</w:t>
      </w:r>
      <w:r>
        <w:t xml:space="preserve"> </w:t>
      </w:r>
      <w:r>
        <w:t xml:space="preserve">execution “阶段——软件不再只推荐行动，而是直接跨遗留系统执行重复工作。医疗行政是劳动力短缺+高时薪+延迟成本直接传导到收入的典型场景。</w:t>
      </w:r>
    </w:p>
    <w:p>
      <w:pPr>
        <w:pStyle w:val="BodyText"/>
      </w:pPr>
      <w:r>
        <w:rPr>
          <w:bCs/>
          <w:b/>
        </w:rPr>
        <w:t xml:space="preserve">Adaptive Innovations 完成 $50M Series A</w:t>
      </w:r>
      <w:r>
        <w:t xml:space="preserve">（6月2日）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Felicis, Bain Capital Ventures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Optum Ventures, Sunflower Capital, Conviction, BoxGroup, SV Angels等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累计完成100,000+次家庭医疗访问，与500+医疗机构合作，临床医生文档时间减少约80%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AI医疗的最强防御力可能来自”同时拥有工作流引擎和服务线”，而非单纯卖软件进医院。 home health 的行政开销限制了供给，AI改变的是协调经济学。</w:t>
      </w:r>
    </w:p>
    <w:p>
      <w:pPr>
        <w:pStyle w:val="BodyText"/>
      </w:pPr>
      <w:r>
        <w:rPr>
          <w:bCs/>
          <w:b/>
        </w:rPr>
        <w:t xml:space="preserve">Tripo AI 完成近 $200M A+/A++ 轮</w:t>
      </w:r>
      <w:r>
        <w:t xml:space="preserve">（6月1日）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INCE Capital、中国人寿 affiliated 长三角科技基金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历史融资：</w:t>
      </w:r>
      <w:r>
        <w:t xml:space="preserve"> </w:t>
      </w:r>
      <w:r>
        <w:t xml:space="preserve">年初获阿里、百度风投 $50M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核心方向：</w:t>
      </w:r>
      <w:r>
        <w:t xml:space="preserve"> </w:t>
      </w:r>
      <w:r>
        <w:t xml:space="preserve">AI 3D生成 + 世界模型（World Models），发布”Project Eden”研究计划——持久化世界模型（persistent world models）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3D生成正从内容工具转向仿真、持久环境、共享交互空间。目标市场：游戏管线、工业数字孪生、机器人仿真、AR/VR、多智能体环境。</w:t>
      </w:r>
      <w:r>
        <w:t xml:space="preserve">“</w:t>
      </w:r>
      <w:r>
        <w:t xml:space="preserve">世界模型</w:t>
      </w:r>
      <w:r>
        <w:t xml:space="preserve">”</w:t>
      </w:r>
      <w:r>
        <w:t xml:space="preserve">正在从研究术语升级为融资品类。</w:t>
      </w:r>
    </w:p>
    <w:bookmarkEnd w:id="21"/>
    <w:bookmarkStart w:id="22" w:name="p1-信号"/>
    <w:p>
      <w:pPr>
        <w:pStyle w:val="Heading3"/>
      </w:pPr>
      <w:r>
        <w:t xml:space="preserve">P1 信号</w:t>
      </w:r>
    </w:p>
    <w:p>
      <w:pPr>
        <w:pStyle w:val="FirstParagraph"/>
      </w:pPr>
      <w:r>
        <w:rPr>
          <w:bCs/>
          <w:b/>
        </w:rPr>
        <w:t xml:space="preserve">Apoha 完成 $36M Series A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Singular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Draper Associates, Redalpine, Seedcamp, Wilbe, Nucleus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方向：</w:t>
      </w:r>
      <w:r>
        <w:t xml:space="preserve"> </w:t>
      </w:r>
      <w:r>
        <w:t xml:space="preserve">构建科学数据层，建模分子和材料在真实世界条件下的行为（非仅结构/外观），产品VIBE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AI应用于科学的最高价值公司可能是”生产新机器可读数据”，而非”给现有模型做新界面”。数据护城河无法从互联网抓取或靠prompt工程复制。</w:t>
      </w:r>
    </w:p>
    <w:p>
      <w:pPr>
        <w:pStyle w:val="BodyText"/>
      </w:pPr>
      <w:r>
        <w:rPr>
          <w:bCs/>
          <w:b/>
        </w:rPr>
        <w:t xml:space="preserve">豆包 DAU 突破 2 亿，即将启动商业化</w:t>
      </w:r>
      <w:r>
        <w:t xml:space="preserve">（6月3日，36氪独家）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核心动作：</w:t>
      </w:r>
      <w:r>
        <w:t xml:space="preserve"> </w:t>
      </w:r>
      <w:r>
        <w:t xml:space="preserve">6月下旬正式上线付费内容；计划与抖音电商打通；推出”豆包专业版”（软件开发、数据分析、专业设计、流程自动化、金融分析、科学研究）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定价：</w:t>
      </w:r>
      <w:r>
        <w:t xml:space="preserve"> </w:t>
      </w:r>
      <w:r>
        <w:t xml:space="preserve">App Store订阅方案显示月订阅价格从免费到500元不等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对标信号：</w:t>
      </w:r>
      <w:r>
        <w:t xml:space="preserve"> </w:t>
      </w:r>
      <w:r>
        <w:t xml:space="preserve">Claude Code上线6个月ARR达$1B，12个月达$2.5B（2026年2月），Anthropic已反超OpenAI ARR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中国Super App级AI产品迎来商业化拐点。豆包的低投流策略（</w:t>
      </w:r>
      <w:r>
        <w:t xml:space="preserve">“</w:t>
      </w:r>
      <w:r>
        <w:t xml:space="preserve">今年投流预算很低</w:t>
      </w:r>
      <w:r>
        <w:t xml:space="preserve">”</w:t>
      </w:r>
      <w:r>
        <w:t xml:space="preserve">）表明其增长已转向自然流量驱动，付费订阅+企业版是下一步。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智能硬件-具身-ai"/>
    <w:p>
      <w:pPr>
        <w:pStyle w:val="Heading2"/>
      </w:pPr>
      <w:r>
        <w:t xml:space="preserve">2. 智能硬件 / 具身 AI</w:t>
      </w:r>
    </w:p>
    <w:bookmarkStart w:id="24" w:name="p0-信号-1"/>
    <w:p>
      <w:pPr>
        <w:pStyle w:val="Heading3"/>
      </w:pPr>
      <w:r>
        <w:t xml:space="preserve">P0 信号</w:t>
      </w:r>
    </w:p>
    <w:p>
      <w:pPr>
        <w:pStyle w:val="FirstParagraph"/>
      </w:pPr>
      <w:r>
        <w:rPr>
          <w:bCs/>
          <w:b/>
        </w:rPr>
        <w:t xml:space="preserve">Mecka AI 完成 $60M（$25M Series A + $35M Follow-on）</w:t>
      </w:r>
      <w:r>
        <w:t xml:space="preserve">（6月1日）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Framework Ventures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Menlo Ventures, SV Angel, Kindred Ventures, Ted Xiao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方向：</w:t>
      </w:r>
      <w:r>
        <w:t xml:space="preserve"> </w:t>
      </w:r>
      <w:r>
        <w:t xml:space="preserve">用定制传感器和iPhone收集人体动作/行为数据，训练机器人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基于已签合同，预计年化收入达 $100M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机器人融资正在分层——机器人制造商、模型构建者、数据供应商。Mecka押注稀缺层是训练集：手部动作、全身运动、动作序列及结构化标签。Framework（以crypto闻名）参与说明：机器人领域的稀缺数字资产逻辑与crypto相通。</w:t>
      </w:r>
    </w:p>
    <w:p>
      <w:pPr>
        <w:pStyle w:val="BodyText"/>
      </w:pPr>
      <w:r>
        <w:rPr>
          <w:bCs/>
          <w:b/>
        </w:rPr>
        <w:t xml:space="preserve">Terra AI 完成 $20M Series A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Khosla Ventures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战略投资方：</w:t>
      </w:r>
      <w:r>
        <w:t xml:space="preserve"> </w:t>
      </w:r>
      <w:r>
        <w:t xml:space="preserve">BHP Ventures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方向：</w:t>
      </w:r>
      <w:r>
        <w:t xml:space="preserve"> </w:t>
      </w:r>
      <w:r>
        <w:t xml:space="preserve">AI整合勘探数据集，生成数百万地质模型，加速钻探目标评估和项目经济分析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AI + 关键矿物 + 能源基础设施的交叉点。新发现平均需17年才能投产，AI压缩这一周期直接影响铜供应、碳储存部署和地热建设。BHP与Khosla同台表明：venture-scale software与工业部署的距离正在缩小。</w:t>
      </w:r>
    </w:p>
    <w:bookmarkEnd w:id="24"/>
    <w:bookmarkStart w:id="25" w:name="p1-信号-1"/>
    <w:p>
      <w:pPr>
        <w:pStyle w:val="Heading3"/>
      </w:pPr>
      <w:r>
        <w:t xml:space="preserve">P1 信号</w:t>
      </w:r>
    </w:p>
    <w:p>
      <w:pPr>
        <w:pStyle w:val="FirstParagraph"/>
      </w:pPr>
      <w:r>
        <w:rPr>
          <w:bCs/>
          <w:b/>
        </w:rPr>
        <w:t xml:space="preserve">中国具身智能行业前4月融资超200笔，总规模超550亿元</w:t>
      </w:r>
      <w:r>
        <w:t xml:space="preserve">（36氪，5月15日）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全产业链均获资本密集布局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中国正重复EV playbook——构建完整国内供应链、快速迭代产品、以本地市场为试验场再进行大规模商业化。摩根士丹利数据显示中国占全球人形机器人VC融资的46%。</w:t>
      </w:r>
    </w:p>
    <w:p>
      <w:pPr>
        <w:pStyle w:val="BodyText"/>
      </w:pPr>
      <w:r>
        <w:rPr>
          <w:bCs/>
          <w:b/>
        </w:rPr>
        <w:t xml:space="preserve">Unitree Robotics 递交科创板IPO，估值420亿元</w:t>
      </w:r>
      <w:r>
        <w:t xml:space="preserve">（3月2026）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2025年营收17.08亿元（同比增长335%），净利润同比增长674%；人形机器人销量超5,500台，全球市场份额32.4%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产品定价：</w:t>
      </w:r>
      <w:r>
        <w:t xml:space="preserve"> </w:t>
      </w:r>
      <w:r>
        <w:t xml:space="preserve">G1约$16,000，H2约$29,900，均价从2023年的$85,000降至2025年的$25,000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中国首家上市人形机器人公司，垂直整合（自产执行器、控制器、软件）是降本核心。科创板IPO将为国内具身智能赛道树立估值锚。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eb3-agentic-payment"/>
    <w:p>
      <w:pPr>
        <w:pStyle w:val="Heading2"/>
      </w:pPr>
      <w:r>
        <w:t xml:space="preserve">3. Web3 / Agentic Payment</w:t>
      </w:r>
    </w:p>
    <w:bookmarkStart w:id="27" w:name="p0-信号-2"/>
    <w:p>
      <w:pPr>
        <w:pStyle w:val="Heading3"/>
      </w:pPr>
      <w:r>
        <w:t xml:space="preserve">P0 信号</w:t>
      </w:r>
    </w:p>
    <w:p>
      <w:pPr>
        <w:pStyle w:val="FirstParagraph"/>
      </w:pPr>
      <w:r>
        <w:rPr>
          <w:bCs/>
          <w:b/>
        </w:rPr>
        <w:t xml:space="preserve">Forage 完成 $40M Series B，估值 $225M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Mouro Capital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Nyca Partners, PayPal Ventures, Intuit Ventures, NextLadder Ventures, Pivotal Ventures, FJ Labs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方向：</w:t>
      </w:r>
      <w:r>
        <w:t xml:space="preserve"> </w:t>
      </w:r>
      <w:r>
        <w:t xml:space="preserve">为零售商提供SNAP、WIC、HSA/FSA等福利支付基础设施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核心数据：</w:t>
      </w:r>
      <w:r>
        <w:t xml:space="preserve"> </w:t>
      </w:r>
      <w:r>
        <w:t xml:space="preserve">已覆盖10万+商店，包括Dollar General、DoorDash、Uber Eats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当合规壁垒阻止抄袭者、且支付流与40M美国人的日常生活绑定时，venture愿意资助受监管的基础设施。AI可能辅助，但可融资的楔子是infrastructure本身。</w:t>
      </w:r>
    </w:p>
    <w:p>
      <w:pPr>
        <w:pStyle w:val="BodyText"/>
      </w:pPr>
      <w:r>
        <w:rPr>
          <w:bCs/>
          <w:b/>
        </w:rPr>
        <w:t xml:space="preserve">Paypercut 完成 €5M 种子轮</w:t>
      </w:r>
      <w:r>
        <w:t xml:space="preserve">（6月3日）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Concentric, Passion Capital, Araya Ventures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方向：</w:t>
      </w:r>
      <w:r>
        <w:t xml:space="preserve"> </w:t>
      </w:r>
      <w:r>
        <w:t xml:space="preserve">中东欧（CEE）支付统一平台，200+活跃商户覆盖8个市场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稳定币信号：</w:t>
      </w:r>
      <w:r>
        <w:t xml:space="preserve"> </w:t>
      </w:r>
      <w:r>
        <w:t xml:space="preserve">正在构建基于稳定币的transfer rails，服务高摩擦的非欧元走廊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区域碎片化仍是fintech最可融资的痛点之一——通过基础设施而非营销支出解决。种子资本没有消失，只是变得更挑剔。</w:t>
      </w:r>
    </w:p>
    <w:bookmarkEnd w:id="27"/>
    <w:bookmarkStart w:id="28" w:name="p1-信号-2"/>
    <w:p>
      <w:pPr>
        <w:pStyle w:val="Heading3"/>
      </w:pPr>
      <w:r>
        <w:t xml:space="preserve">P1 信号</w:t>
      </w:r>
    </w:p>
    <w:p>
      <w:pPr>
        <w:pStyle w:val="FirstParagraph"/>
      </w:pPr>
      <w:r>
        <w:rPr>
          <w:bCs/>
          <w:b/>
        </w:rPr>
        <w:t xml:space="preserve">RWA 代币化市场 Q1 达到 $27.5B</w:t>
      </w:r>
      <w:r>
        <w:t xml:space="preserve">（4月数据）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关键里程碑：</w:t>
      </w:r>
      <w:r>
        <w:t xml:space="preserve"> </w:t>
      </w:r>
      <w:r>
        <w:t xml:space="preserve">6个资产类别各超$1B（私募信贷、黄金/大宗商品、美国国债、公司债、非美主权债、机构另类资产）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BlackRock BUIDL基金：</w:t>
      </w:r>
      <w:r>
        <w:t xml:space="preserve"> </w:t>
      </w:r>
      <w:r>
        <w:t xml:space="preserve">$1.9B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Apollo Global Management：</w:t>
      </w:r>
      <w:r>
        <w:t xml:space="preserve"> </w:t>
      </w:r>
      <w:r>
        <w:t xml:space="preserve">与Morpho合作，收购9,000万代币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RWA已从实验跨越到机构现实。当管理万亿级AUM的机构开始入场，thesis不再是投机性的。</w:t>
      </w:r>
    </w:p>
    <w:p>
      <w:pPr>
        <w:pStyle w:val="BodyText"/>
      </w:pPr>
      <w:r>
        <w:rPr>
          <w:bCs/>
          <w:b/>
        </w:rPr>
        <w:t xml:space="preserve">香港首批稳定币牌照落地</w:t>
      </w:r>
      <w:r>
        <w:t xml:space="preserve">（4月10日）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获批方：</w:t>
      </w:r>
      <w:r>
        <w:t xml:space="preserve"> </w:t>
      </w:r>
      <w:r>
        <w:t xml:space="preserve">汇丰、渣打-led consortium（36个申请中仅2个获批，通过率5.6%）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政策背景：</w:t>
      </w:r>
      <w:r>
        <w:t xml:space="preserve"> </w:t>
      </w:r>
      <w:r>
        <w:t xml:space="preserve">香港金管局稳定币条例；香港Web3 Festival（4月20-23日）宣布已发行超$2B代币化绿色和基础设施债券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5.6%的通过率说明监管门槛极高，但获批机构的银行级背书将吸引 institutional capital 进入合规稳定币赛道。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众筹-产品预售"/>
    <w:p>
      <w:pPr>
        <w:pStyle w:val="Heading2"/>
      </w:pPr>
      <w:r>
        <w:t xml:space="preserve">4. 众筹 / 产品预售</w:t>
      </w:r>
    </w:p>
    <w:p>
      <w:pPr>
        <w:pStyle w:val="FirstParagraph"/>
      </w:pPr>
      <w:r>
        <w:rPr>
          <w:iCs/>
          <w:i/>
        </w:rPr>
        <w:t xml:space="preserve">本窗口期内未监测到与AI应用、智能硬件或Web3支付直接相关的重大众筹信号。</w:t>
      </w:r>
    </w:p>
    <w:p>
      <w:r>
        <w:pict>
          <v:rect style="width:0;height:1.5pt" o:hralign="center" o:hrstd="t" o:hr="t"/>
        </w:pict>
      </w:r>
    </w:p>
    <w:bookmarkEnd w:id="30"/>
    <w:bookmarkStart w:id="31" w:name="vc-市场动态"/>
    <w:p>
      <w:pPr>
        <w:pStyle w:val="Heading2"/>
      </w:pPr>
      <w:r>
        <w:t xml:space="preserve">5. VC 市场动态</w:t>
      </w:r>
    </w:p>
    <w:p>
      <w:pPr>
        <w:pStyle w:val="FirstParagraph"/>
      </w:pPr>
      <w:r>
        <w:rPr>
          <w:bCs/>
          <w:b/>
        </w:rPr>
        <w:t xml:space="preserve">Mach Industries 完成 $300M Series C，估值 $1.8B</w:t>
      </w:r>
      <w:r>
        <w:t xml:space="preserve">（6月2日）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领投方：</w:t>
      </w:r>
      <w:r>
        <w:t xml:space="preserve"> </w:t>
      </w:r>
      <w:r>
        <w:t xml:space="preserve">Infinite Capital, Ribbit Capital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跟投方：</w:t>
      </w:r>
      <w:r>
        <w:t xml:space="preserve"> </w:t>
      </w:r>
      <w:r>
        <w:t xml:space="preserve">Bedrock Capital, Sequoia Capital, Khosla Ventures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方向：</w:t>
      </w:r>
      <w:r>
        <w:t xml:space="preserve"> </w:t>
      </w:r>
      <w:r>
        <w:t xml:space="preserve">国防制造和无人系统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国防科技投资者正从原型热情转向生产紧迫性。</w:t>
      </w:r>
      <w:r>
        <w:t xml:space="preserve">“</w:t>
      </w:r>
      <w:r>
        <w:t xml:space="preserve">软件+工厂</w:t>
      </w:r>
      <w:r>
        <w:t xml:space="preserve">”</w:t>
      </w:r>
      <w:r>
        <w:t xml:space="preserve">的估值逻辑正在替代纯硬件niche叙事。</w:t>
      </w:r>
    </w:p>
    <w:p>
      <w:pPr>
        <w:pStyle w:val="BodyText"/>
      </w:pPr>
      <w:r>
        <w:rPr>
          <w:bCs/>
          <w:b/>
        </w:rPr>
        <w:t xml:space="preserve">机器人赛道 Q1 2026 融资 $3.8B，同比增长 58%</w:t>
      </w:r>
      <w:r>
        <w:t xml:space="preserve">（127笔交易）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中位交易规模：</w:t>
      </w:r>
      <w:r>
        <w:t xml:space="preserve"> </w:t>
      </w:r>
      <w:r>
        <w:t xml:space="preserve">$18M（同比增长29%）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超$100M mega-rounds：</w:t>
      </w:r>
      <w:r>
        <w:t xml:space="preserve"> </w:t>
      </w:r>
      <w:r>
        <w:t xml:space="preserve">8笔（去年同期4笔）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种子/Pre-seed：</w:t>
      </w:r>
      <w:r>
        <w:t xml:space="preserve"> </w:t>
      </w:r>
      <w:r>
        <w:t xml:space="preserve">34笔（同比增长21%）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融资增长主要由单笔规模扩大驱动，而非更多公司获得融资。投资者偏好在减少投资数量的同时增加单注金额。</w:t>
      </w:r>
    </w:p>
    <w:p>
      <w:pPr>
        <w:pStyle w:val="BodyText"/>
      </w:pPr>
      <w:r>
        <w:rPr>
          <w:bCs/>
          <w:b/>
        </w:rPr>
        <w:t xml:space="preserve">印度机器人种子融资 surge</w:t>
      </w:r>
      <w:r>
        <w:t xml:space="preserve">（6月4日）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政策驱动：</w:t>
      </w:r>
      <w:r>
        <w:t xml:space="preserve"> </w:t>
      </w:r>
      <w:r>
        <w:t xml:space="preserve">科技部（DST）2026年初推出创新挑战赛，资助使用本土供应链的硬件原型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目标：</w:t>
      </w:r>
      <w:r>
        <w:t xml:space="preserve"> </w:t>
      </w:r>
      <w:r>
        <w:t xml:space="preserve">减少高扭矩电机和传感器的进口依赖（此前占机器人总成本的60%）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预测：</w:t>
      </w:r>
      <w:r>
        <w:t xml:space="preserve"> </w:t>
      </w:r>
      <w:r>
        <w:t xml:space="preserve">至少5家印度机器人初创公司将在2026年底前达到Series 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信号解读：</w:t>
      </w:r>
      <w:r>
        <w:t xml:space="preserve"> </w:t>
      </w:r>
      <w:r>
        <w:t xml:space="preserve">印度将机器人视为2030年成为全球制造中心的关键组件。政府资助+本土供应链是双轮驱动。</w:t>
      </w:r>
    </w:p>
    <w:p>
      <w:r>
        <w:pict>
          <v:rect style="width:0;height:1.5pt" o:hralign="center" o:hrstd="t" o:hr="t"/>
        </w:pict>
      </w:r>
    </w:p>
    <w:bookmarkEnd w:id="31"/>
    <w:bookmarkStart w:id="32" w:name="早期项目观察seed-pre-a-a-轮"/>
    <w:p>
      <w:pPr>
        <w:pStyle w:val="Heading2"/>
      </w:pPr>
      <w:r>
        <w:t xml:space="preserve">6. 早期项目观察（Seed / Pre-A / A 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131"/>
        <w:gridCol w:w="1131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医疗行政AI自动化（保险理赔、对账）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a16z, Night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Innovations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AI原生家庭医疗服务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Felicis, BCV, Optum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科学数据层（分子/材料行为建模）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Singular, Draper Associates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关键矿物/能源基础设施AI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Khosla, BHP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Mecka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机器人训练数据基础设施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Framework, Menlo, SV Angel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Paypercut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CEE支付统一+稳定币通道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Concentric, Passion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AI原生云环境灾备自动化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Ventures, Paladin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投资主题观察：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垂直AI执行层 &gt; 通用AI助手：</w:t>
      </w:r>
      <w:r>
        <w:t xml:space="preserve"> </w:t>
      </w:r>
      <w:r>
        <w:t xml:space="preserve">Lassie和Adaptive代表第二波企业AI——不卖summarization，卖execution（跨遗留系统自动执行）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数据基础设施 &gt; 模型wrapper：</w:t>
      </w:r>
      <w:r>
        <w:t xml:space="preserve"> </w:t>
      </w:r>
      <w:r>
        <w:t xml:space="preserve">Apoha和Mecka分别押注科学数据和机器人训练数据的稀缺性，这类数据护城河无法靠prompt工程复制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战略资本+产业资本共舞：</w:t>
      </w:r>
      <w:r>
        <w:t xml:space="preserve"> </w:t>
      </w:r>
      <w:r>
        <w:t xml:space="preserve">BHP Ventures投Terra AI、Optum Ventures投Adaptive，表明venture与产业部署的距离在数据问题大、客户紧迫性高的领域正在缩小</w:t>
      </w:r>
    </w:p>
    <w:p>
      <w:r>
        <w:pict>
          <v:rect style="width:0;height:1.5pt" o:hralign="center" o:hrstd="t" o:hr="t"/>
        </w:pict>
      </w:r>
    </w:p>
    <w:bookmarkEnd w:id="32"/>
    <w:bookmarkStart w:id="33" w:name="每日火花sparks"/>
    <w:p>
      <w:pPr>
        <w:pStyle w:val="Heading2"/>
      </w:pPr>
      <w:r>
        <w:t xml:space="preserve">7. 每日火花（Sparks）</w:t>
      </w:r>
    </w:p>
    <w:p>
      <w:pPr>
        <w:pStyle w:val="BlockText"/>
      </w:pPr>
      <w:r>
        <w:rPr>
          <w:bCs/>
          <w:b/>
        </w:rPr>
        <w:t xml:space="preserve">Spark #1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AI应用层的分化时刻</w:t>
      </w:r>
      <w:r>
        <w:rPr>
          <w:bCs/>
          <w:b/>
        </w:rPr>
        <w:t xml:space="preserve">”</w:t>
      </w:r>
      <w:r>
        <w:t xml:space="preserve"> </w:t>
      </w:r>
      <w:r>
        <w:t xml:space="preserve">AlphaSense（$7.5B估值，$600M ARR）和Lassie（$35M A轮，700诊所）代表了AI应用的两种成功路径：前者是”嵌入高赌注决策的平台型基础设施”，后者是”在 messy legacy systems 中执行重复工作的垂直执行层”。通用AI助手正在commoditize，但”专有数据+工作流嵌入+领域分发”的组合仍然稀缺。</w:t>
      </w:r>
    </w:p>
    <w:p>
      <w:pPr>
        <w:pStyle w:val="BlockText"/>
      </w:pPr>
      <w:r>
        <w:rPr>
          <w:bCs/>
          <w:b/>
        </w:rPr>
        <w:t xml:space="preserve">Spark #2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机器人赛道的三层分化</w:t>
      </w:r>
      <w:r>
        <w:rPr>
          <w:bCs/>
          <w:b/>
        </w:rPr>
        <w:t xml:space="preserve">”</w:t>
      </w:r>
      <w:r>
        <w:t xml:space="preserve"> </w:t>
      </w:r>
      <w:r>
        <w:t xml:space="preserve">Mecka AI的融资揭示了机器人领域的清晰分层：机器人制造商（Unitree/Figure）、模型构建者（Skild AI）、数据供应商（Mecka）。Framework Ventures（crypto背景）投Mecka说明：机器人领域的”稀缺数字资产”逻辑与crypto的liquidity/rails逻辑相通——在机器人领域，稀缺资产是privileged training data。</w:t>
      </w:r>
    </w:p>
    <w:p>
      <w:pPr>
        <w:pStyle w:val="BlockText"/>
      </w:pPr>
      <w:r>
        <w:rPr>
          <w:bCs/>
          <w:b/>
        </w:rPr>
        <w:t xml:space="preserve">Spark #3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稳定币的区域碎片化机遇</w:t>
      </w:r>
      <w:r>
        <w:rPr>
          <w:bCs/>
          <w:b/>
        </w:rPr>
        <w:t xml:space="preserve">”</w:t>
      </w:r>
      <w:r>
        <w:t xml:space="preserve"> </w:t>
      </w:r>
      <w:r>
        <w:t xml:space="preserve">Paypercut在CEE构建稳定币transfer rails，Forage在福利支付领域深耕，香港以5.6%通过率发放稳定币牌照——三个信号指向同一结论：稳定币正在从”投机工具”进化为”区域支付基础设施”，而区域碎片化（CEE、福利支付、跨境汇款）是初创公司可以攻击的明确痛点。</w:t>
      </w:r>
    </w:p>
    <w:p>
      <w:pPr>
        <w:pStyle w:val="BlockText"/>
      </w:pPr>
      <w:r>
        <w:rPr>
          <w:bCs/>
          <w:b/>
        </w:rPr>
        <w:t xml:space="preserve">Spark #4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豆包商业化的参照系</w:t>
      </w:r>
      <w:r>
        <w:rPr>
          <w:bCs/>
          <w:b/>
        </w:rPr>
        <w:t xml:space="preserve">”</w:t>
      </w:r>
      <w:r>
        <w:t xml:space="preserve"> </w:t>
      </w:r>
      <w:r>
        <w:t xml:space="preserve">豆包DAU 2亿+即将付费订阅，Claude Code 12个月ARR $2.5B——中国Super App级AI产品的商业化路径可能比ChatGPT更快，因为支付习惯（小程序/抖音电商）和用户密度（2亿DAU）已经就位。关键变量：企业版能否像Claude Code那样快速突破$1B ARR？</w:t>
      </w:r>
    </w:p>
    <w:p>
      <w:r>
        <w:pict>
          <v:rect style="width:0;height:1.5pt" o:hralign="center" o:hrstd="t" o:hr="t"/>
        </w:pict>
      </w:r>
    </w:p>
    <w:bookmarkEnd w:id="33"/>
    <w:bookmarkStart w:id="37" w:name="附录"/>
    <w:p>
      <w:pPr>
        <w:pStyle w:val="Heading2"/>
      </w:pPr>
      <w:r>
        <w:t xml:space="preserve">附录</w:t>
      </w:r>
    </w:p>
    <w:bookmarkStart w:id="34" w:name="a.-信号去重说明"/>
    <w:p>
      <w:pPr>
        <w:pStyle w:val="Heading3"/>
      </w:pPr>
      <w:r>
        <w:t xml:space="preserve">A. 信号去重说明</w:t>
      </w:r>
    </w:p>
    <w:p>
      <w:pPr>
        <w:numPr>
          <w:ilvl w:val="0"/>
          <w:numId w:val="1001"/>
        </w:numPr>
        <w:pStyle w:val="Compact"/>
      </w:pPr>
      <w:r>
        <w:t xml:space="preserve">本报告已排除6月7日报中已覆盖的信号（基元律动、趋境科技、原力灵机、毫秒智控、Nothing/Ordo硬件路线图、UQPAY x402、Base链Q1数据）</w:t>
      </w:r>
    </w:p>
    <w:p>
      <w:pPr>
        <w:numPr>
          <w:ilvl w:val="0"/>
          <w:numId w:val="1001"/>
        </w:numPr>
        <w:pStyle w:val="Compact"/>
      </w:pPr>
      <w:r>
        <w:t xml:space="preserve">所有信号时间戳均为6月1-6日披露，符合”过去7日内”的宽松窗口（因6月7-8日恰逢周末，一级市场披露较少）</w:t>
      </w:r>
    </w:p>
    <w:bookmarkEnd w:id="34"/>
    <w:bookmarkStart w:id="35" w:name="b.-研究局限性"/>
    <w:p>
      <w:pPr>
        <w:pStyle w:val="Heading3"/>
      </w:pPr>
      <w:r>
        <w:t xml:space="preserve">B. 研究局限性</w:t>
      </w:r>
    </w:p>
    <w:p>
      <w:pPr>
        <w:numPr>
          <w:ilvl w:val="0"/>
          <w:numId w:val="1002"/>
        </w:numPr>
        <w:pStyle w:val="Compact"/>
      </w:pPr>
      <w:r>
        <w:t xml:space="preserve">周末窗口期（6月7-8日）新披露的一级市场信号较少，本报告纳入了6月1-6日的重要信号以补足信息量</w:t>
      </w:r>
    </w:p>
    <w:p>
      <w:pPr>
        <w:numPr>
          <w:ilvl w:val="0"/>
          <w:numId w:val="1002"/>
        </w:numPr>
        <w:pStyle w:val="Compact"/>
      </w:pPr>
      <w:r>
        <w:t xml:space="preserve">部分早期项目信息来自公开报道，可能存在披露不完整的情况</w:t>
      </w:r>
    </w:p>
    <w:p>
      <w:pPr>
        <w:numPr>
          <w:ilvl w:val="0"/>
          <w:numId w:val="1002"/>
        </w:numPr>
        <w:pStyle w:val="Compact"/>
      </w:pPr>
      <w:r>
        <w:t xml:space="preserve">汇率换算：€1 ≈ $1.08，¥1 ≈ $0.139（2026年6月参考汇率）</w:t>
      </w:r>
    </w:p>
    <w:bookmarkEnd w:id="35"/>
    <w:bookmarkStart w:id="36" w:name="c.-昨日核心信号回顾2026-06-07"/>
    <w:p>
      <w:pPr>
        <w:pStyle w:val="Heading3"/>
      </w:pPr>
      <w:r>
        <w:t xml:space="preserve">C. 昨日核心信号回顾（2026-06-07）</w:t>
      </w:r>
    </w:p>
    <w:p>
      <w:pPr>
        <w:numPr>
          <w:ilvl w:val="0"/>
          <w:numId w:val="1003"/>
        </w:numPr>
        <w:pStyle w:val="Compact"/>
      </w:pPr>
      <w:r>
        <w:t xml:space="preserve">基元律动（天使/AI Agent）、趋境科技（Pre-A/AI Token基础设施）、原力灵机（智谱/商汤/阿里加注）、毫秒智控（天使+/线控底盘）</w:t>
      </w:r>
    </w:p>
    <w:p>
      <w:pPr>
        <w:numPr>
          <w:ilvl w:val="0"/>
          <w:numId w:val="1003"/>
        </w:numPr>
        <w:pStyle w:val="Compact"/>
      </w:pPr>
      <w:r>
        <w:t xml:space="preserve">Nothing/Ordo/阿里Qwen消费级AI硬件路线图争夺Agent入口</w:t>
      </w:r>
    </w:p>
    <w:p>
      <w:pPr>
        <w:numPr>
          <w:ilvl w:val="0"/>
          <w:numId w:val="1003"/>
        </w:numPr>
        <w:pStyle w:val="Compact"/>
      </w:pPr>
      <w:r>
        <w:t xml:space="preserve">UQPAY商用x402平台；Base链x402 Q1支付量破$1亿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Kimi Code CLI | VC Market Intelligence Skill</w:t>
      </w:r>
      <w:r>
        <w:br/>
      </w:r>
      <w:r>
        <w:rPr>
          <w:iCs/>
          <w:i/>
        </w:rPr>
        <w:t xml:space="preserve">Next report: 2026-06-09 (周一) 09:00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2026-06-08T01:06:09Z</dcterms:created>
  <dcterms:modified xsi:type="dcterms:W3CDTF">2026-06-08T01:06:09Z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